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2C72" w14:textId="600D9D5A" w:rsidR="45821AEB" w:rsidRDefault="45821AEB" w:rsidP="4B091CD6">
      <w:pPr>
        <w:pStyle w:val="Title"/>
      </w:pPr>
      <w:r>
        <w:t>University of Edinburgh</w:t>
      </w:r>
      <w:r w:rsidR="2AE59F12">
        <w:t xml:space="preserve"> </w:t>
      </w:r>
      <w:r w:rsidR="037A8CC2">
        <w:t xml:space="preserve">and the </w:t>
      </w:r>
      <w:r w:rsidR="70C84015">
        <w:t>wider research landscape</w:t>
      </w:r>
    </w:p>
    <w:p w14:paraId="5B95CFE2" w14:textId="57C9B7A4" w:rsidR="4B091CD6" w:rsidRDefault="4B091CD6" w:rsidP="4B091CD6"/>
    <w:p w14:paraId="7A45AA2E" w14:textId="430DF2BE" w:rsidR="1960525B" w:rsidRDefault="1960525B" w:rsidP="00BF652F">
      <w:r>
        <w:t xml:space="preserve">This document is designed to sit alongside the </w:t>
      </w:r>
      <w:hyperlink r:id="rId10">
        <w:r w:rsidRPr="4B091CD6">
          <w:rPr>
            <w:rStyle w:val="Hyperlink"/>
          </w:rPr>
          <w:t>UK Research Landscape Toolkit</w:t>
        </w:r>
      </w:hyperlink>
      <w:r w:rsidR="0286F020">
        <w:t xml:space="preserve"> developed by the Future </w:t>
      </w:r>
      <w:r w:rsidR="02977F2A">
        <w:t>Leaders</w:t>
      </w:r>
      <w:r w:rsidR="0286F020">
        <w:t xml:space="preserve"> Fellows Development N</w:t>
      </w:r>
      <w:r w:rsidR="57DE1F9C">
        <w:t>e</w:t>
      </w:r>
      <w:r w:rsidR="0286F020">
        <w:t>twork</w:t>
      </w:r>
      <w:r w:rsidR="55FCF4E5">
        <w:t xml:space="preserve"> and UKRI</w:t>
      </w:r>
      <w:r w:rsidR="0286F020">
        <w:t>, and signposts to</w:t>
      </w:r>
      <w:r w:rsidR="2005B270">
        <w:t xml:space="preserve"> key sources of information relevant to understanding </w:t>
      </w:r>
      <w:r w:rsidR="5984F281">
        <w:t xml:space="preserve">how </w:t>
      </w:r>
      <w:r w:rsidR="7F60A99B">
        <w:t xml:space="preserve">the </w:t>
      </w:r>
      <w:r w:rsidR="5984F281">
        <w:t>U</w:t>
      </w:r>
      <w:r w:rsidR="5EB85C3A">
        <w:t xml:space="preserve">niversity </w:t>
      </w:r>
      <w:r w:rsidR="5984F281">
        <w:t>o</w:t>
      </w:r>
      <w:r w:rsidR="1230FE54">
        <w:t xml:space="preserve">f </w:t>
      </w:r>
      <w:r w:rsidR="5984F281">
        <w:t>E</w:t>
      </w:r>
      <w:r w:rsidR="6E72114A">
        <w:t>dinburgh (UoE)</w:t>
      </w:r>
      <w:r w:rsidR="5984F281">
        <w:t xml:space="preserve"> is responding to </w:t>
      </w:r>
      <w:r w:rsidR="18886059">
        <w:t xml:space="preserve">the </w:t>
      </w:r>
      <w:r w:rsidR="605711A3">
        <w:t>wider research landscape</w:t>
      </w:r>
      <w:r w:rsidR="1169FFA1">
        <w:t>, how you can stay informed and get involved.</w:t>
      </w:r>
    </w:p>
    <w:p w14:paraId="7C3ADE20" w14:textId="1F4D2DA8" w:rsidR="0E6FAE6D" w:rsidRDefault="0E6FAE6D" w:rsidP="4B091CD6">
      <w:pPr>
        <w:pStyle w:val="Heading1"/>
      </w:pPr>
      <w:r>
        <w:t>Analysis and Insights</w:t>
      </w:r>
    </w:p>
    <w:p w14:paraId="0ECEE6F1" w14:textId="61534699" w:rsidR="0E6FAE6D" w:rsidRDefault="00BF652F">
      <w:hyperlink r:id="rId11">
        <w:r w:rsidR="0E6FAE6D" w:rsidRPr="4B091CD6">
          <w:rPr>
            <w:rStyle w:val="Hyperlink"/>
          </w:rPr>
          <w:t>Edinburgh Research Office</w:t>
        </w:r>
      </w:hyperlink>
      <w:r w:rsidR="0E6FAE6D">
        <w:t xml:space="preserve"> provides up to date intelligence, insight and advice on research planning, development and funding.</w:t>
      </w:r>
      <w:r w:rsidR="2A285130">
        <w:t xml:space="preserve"> </w:t>
      </w:r>
      <w:r w:rsidR="5217608D">
        <w:t xml:space="preserve">There are </w:t>
      </w:r>
      <w:hyperlink r:id="rId12">
        <w:r w:rsidR="5217608D" w:rsidRPr="4B091CD6">
          <w:rPr>
            <w:rStyle w:val="Hyperlink"/>
          </w:rPr>
          <w:t>weekly briefings</w:t>
        </w:r>
      </w:hyperlink>
      <w:r w:rsidR="5217608D">
        <w:t xml:space="preserve"> on changes in the social, political and economic landscape in Scotland, the UK and further afield that </w:t>
      </w:r>
      <w:r w:rsidR="7E1A4626">
        <w:t xml:space="preserve">are </w:t>
      </w:r>
      <w:r w:rsidR="5217608D">
        <w:t>relevant to Research and Innovation</w:t>
      </w:r>
      <w:r w:rsidR="26560756">
        <w:t>.</w:t>
      </w:r>
    </w:p>
    <w:p w14:paraId="43E69804" w14:textId="53AD94E9" w:rsidR="2681FEBF" w:rsidRDefault="2681FEBF" w:rsidP="4B091CD6">
      <w:pPr>
        <w:pStyle w:val="Heading1"/>
      </w:pPr>
      <w:r>
        <w:t>Research S</w:t>
      </w:r>
      <w:r w:rsidR="43A72583">
        <w:t>t</w:t>
      </w:r>
      <w:r>
        <w:t xml:space="preserve">rategy </w:t>
      </w:r>
    </w:p>
    <w:p w14:paraId="704B28AF" w14:textId="79949F0A" w:rsidR="2681FEBF" w:rsidRDefault="00BF652F">
      <w:hyperlink r:id="rId13">
        <w:r w:rsidR="2681FEBF" w:rsidRPr="4B091CD6">
          <w:rPr>
            <w:rStyle w:val="Hyperlink"/>
          </w:rPr>
          <w:t>Edinburgh Research Office</w:t>
        </w:r>
      </w:hyperlink>
      <w:r w:rsidR="2681FEBF">
        <w:t xml:space="preserve"> </w:t>
      </w:r>
      <w:r w:rsidR="2F00119A">
        <w:t>has</w:t>
      </w:r>
      <w:r w:rsidR="2681FEBF">
        <w:t xml:space="preserve"> </w:t>
      </w:r>
      <w:r w:rsidR="71C2502C">
        <w:t>information on</w:t>
      </w:r>
      <w:r w:rsidR="2681FEBF">
        <w:t xml:space="preserve"> the Universities research strategy</w:t>
      </w:r>
      <w:r w:rsidR="5D7A49F9">
        <w:t xml:space="preserve"> and existing governance structures. Each College has a </w:t>
      </w:r>
      <w:r w:rsidR="1978C936">
        <w:t>Head</w:t>
      </w:r>
      <w:r w:rsidR="5D7A49F9">
        <w:t xml:space="preserve"> of College Research O</w:t>
      </w:r>
      <w:r w:rsidR="60D55B44">
        <w:t>f</w:t>
      </w:r>
      <w:r w:rsidR="5D7A49F9">
        <w:t xml:space="preserve">fice or Research Manager, who </w:t>
      </w:r>
      <w:r w:rsidR="0000CB46">
        <w:t>supports</w:t>
      </w:r>
      <w:r w:rsidR="5D7A49F9">
        <w:t xml:space="preserve"> the implementation of the strategy</w:t>
      </w:r>
      <w:r w:rsidR="3F15EF22">
        <w:t xml:space="preserve"> at college level.</w:t>
      </w:r>
    </w:p>
    <w:p w14:paraId="55701090" w14:textId="71DD55A9" w:rsidR="3D09444C" w:rsidRDefault="3D09444C" w:rsidP="4B091CD6">
      <w:pPr>
        <w:pStyle w:val="Heading1"/>
      </w:pPr>
      <w:r>
        <w:t>Research Excellence Framework 2029</w:t>
      </w:r>
    </w:p>
    <w:p w14:paraId="6A3EA79C" w14:textId="3E85C870" w:rsidR="3D09444C" w:rsidRDefault="3D09444C">
      <w:r>
        <w:t xml:space="preserve">The University provides a </w:t>
      </w:r>
      <w:hyperlink r:id="rId14">
        <w:r w:rsidRPr="4B091CD6">
          <w:rPr>
            <w:rStyle w:val="Hyperlink"/>
          </w:rPr>
          <w:t>SharePoint site for REF 2029</w:t>
        </w:r>
      </w:hyperlink>
      <w:r>
        <w:t>, which has all the information on how UoE is preparing for REF 2029, information on key contacts and how to get involved.</w:t>
      </w:r>
    </w:p>
    <w:p w14:paraId="1EB3BD16" w14:textId="79186C6B" w:rsidR="51DF764C" w:rsidRDefault="51DF764C" w:rsidP="4B091CD6">
      <w:pPr>
        <w:pStyle w:val="Heading1"/>
      </w:pPr>
      <w:r>
        <w:t>Research Cultures</w:t>
      </w:r>
    </w:p>
    <w:p w14:paraId="4D5F05DD" w14:textId="18DBEDD5" w:rsidR="51DF764C" w:rsidRDefault="51DF764C" w:rsidP="4B091CD6">
      <w:r>
        <w:t>There are full details on</w:t>
      </w:r>
      <w:r w:rsidR="2A917A23">
        <w:t xml:space="preserve"> UoE</w:t>
      </w:r>
      <w:r>
        <w:t xml:space="preserve"> </w:t>
      </w:r>
      <w:hyperlink r:id="rId15">
        <w:r w:rsidRPr="4B091CD6">
          <w:rPr>
            <w:rStyle w:val="Hyperlink"/>
          </w:rPr>
          <w:t>Research Cultures</w:t>
        </w:r>
      </w:hyperlink>
      <w:r>
        <w:t xml:space="preserve"> activities, action plans and how you can get involved</w:t>
      </w:r>
      <w:r w:rsidR="743933B3">
        <w:t>.</w:t>
      </w:r>
    </w:p>
    <w:p w14:paraId="57DC4511" w14:textId="648D97EC" w:rsidR="4B091CD6" w:rsidRDefault="4B091CD6" w:rsidP="4B091CD6"/>
    <w:p w14:paraId="55347FDF" w14:textId="2475C632" w:rsidR="698F00DD" w:rsidRDefault="698F00DD" w:rsidP="4B091CD6">
      <w:pPr>
        <w:pStyle w:val="Heading1"/>
      </w:pPr>
      <w:r>
        <w:lastRenderedPageBreak/>
        <w:t>Charter and Concordats</w:t>
      </w:r>
    </w:p>
    <w:p w14:paraId="1771CB9F" w14:textId="4E83D5FE" w:rsidR="3EF9B98B" w:rsidRDefault="3EF9B98B" w:rsidP="4B091CD6">
      <w:pPr>
        <w:rPr>
          <w:color w:val="3A3A3A" w:themeColor="background2" w:themeShade="40"/>
        </w:rPr>
      </w:pPr>
      <w:r w:rsidRPr="4B091CD6">
        <w:t>University of Edinburgh is a signatory of and committed to:</w:t>
      </w:r>
    </w:p>
    <w:p w14:paraId="07B5E8ED" w14:textId="0BF451D3" w:rsidR="4AFC324F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16">
        <w:r w:rsidR="4AFC324F" w:rsidRPr="4B091CD6">
          <w:rPr>
            <w:rStyle w:val="Hyperlink"/>
          </w:rPr>
          <w:t>Athena SWAN Charter</w:t>
        </w:r>
      </w:hyperlink>
    </w:p>
    <w:p w14:paraId="602B3D35" w14:textId="44C41DDA" w:rsidR="3EF9B98B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17">
        <w:r w:rsidR="3EF9B98B" w:rsidRPr="4B091CD6">
          <w:rPr>
            <w:rStyle w:val="Hyperlink"/>
          </w:rPr>
          <w:t>Concordat to support the Career Development of Researchers</w:t>
        </w:r>
      </w:hyperlink>
    </w:p>
    <w:p w14:paraId="27879C3D" w14:textId="025D98BB" w:rsidR="3B1006C3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18">
        <w:r w:rsidR="3B1006C3" w:rsidRPr="4B091CD6">
          <w:rPr>
            <w:rStyle w:val="Hyperlink"/>
          </w:rPr>
          <w:t>Concordat for the Environmental Sustainability of Research &amp; Innovation Practice</w:t>
        </w:r>
      </w:hyperlink>
    </w:p>
    <w:p w14:paraId="292140ED" w14:textId="1B6DE5BD" w:rsidR="3B1006C3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19">
        <w:r w:rsidR="3B1006C3" w:rsidRPr="4B091CD6">
          <w:rPr>
            <w:rStyle w:val="Hyperlink"/>
          </w:rPr>
          <w:t>Concordat to Support Research Integrity</w:t>
        </w:r>
      </w:hyperlink>
    </w:p>
    <w:p w14:paraId="6A2E7887" w14:textId="1D4181F7" w:rsidR="3B1006C3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0">
        <w:r w:rsidR="3B1006C3" w:rsidRPr="4B091CD6">
          <w:rPr>
            <w:rStyle w:val="Hyperlink"/>
          </w:rPr>
          <w:t>Concordat on Openness on Animal Research in the UK</w:t>
        </w:r>
      </w:hyperlink>
    </w:p>
    <w:p w14:paraId="31971ED6" w14:textId="55386599" w:rsidR="64C7A678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1">
        <w:r w:rsidR="64C7A678" w:rsidRPr="4B091CD6">
          <w:rPr>
            <w:rStyle w:val="Hyperlink"/>
          </w:rPr>
          <w:t>NCCPE Manifesto for Public Engagement</w:t>
        </w:r>
      </w:hyperlink>
    </w:p>
    <w:p w14:paraId="530A05CF" w14:textId="3DB48788" w:rsidR="64C7A678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2">
        <w:r w:rsidR="64C7A678" w:rsidRPr="4B091CD6">
          <w:rPr>
            <w:rStyle w:val="Hyperlink"/>
          </w:rPr>
          <w:t>Race Equality Charter</w:t>
        </w:r>
      </w:hyperlink>
    </w:p>
    <w:p w14:paraId="7BD42018" w14:textId="6B4923A2" w:rsidR="64C7A678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3">
        <w:r w:rsidR="64C7A678" w:rsidRPr="4B091CD6">
          <w:rPr>
            <w:rStyle w:val="Hyperlink"/>
          </w:rPr>
          <w:t>San Francisco Declaration on Research Assessment</w:t>
        </w:r>
      </w:hyperlink>
      <w:r w:rsidR="64C7A678" w:rsidRPr="4B091CD6">
        <w:t xml:space="preserve"> (DORA) and the </w:t>
      </w:r>
      <w:hyperlink r:id="rId24">
        <w:r w:rsidR="64C7A678" w:rsidRPr="4B091CD6">
          <w:rPr>
            <w:rStyle w:val="Hyperlink"/>
          </w:rPr>
          <w:t>Coalition of Advancing Research Assessment</w:t>
        </w:r>
      </w:hyperlink>
      <w:r w:rsidR="64C7A678" w:rsidRPr="4B091CD6">
        <w:t xml:space="preserve"> (</w:t>
      </w:r>
      <w:proofErr w:type="spellStart"/>
      <w:r w:rsidR="64C7A678" w:rsidRPr="4B091CD6">
        <w:t>CoARA</w:t>
      </w:r>
      <w:proofErr w:type="spellEnd"/>
      <w:r w:rsidR="64C7A678" w:rsidRPr="4B091CD6">
        <w:t>)</w:t>
      </w:r>
    </w:p>
    <w:p w14:paraId="1A1EBD7A" w14:textId="547F0D20" w:rsidR="64C7A678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5">
        <w:r w:rsidR="64C7A678" w:rsidRPr="4B091CD6">
          <w:rPr>
            <w:rStyle w:val="Hyperlink"/>
          </w:rPr>
          <w:t>Stonewall Workplace Equality Index</w:t>
        </w:r>
      </w:hyperlink>
    </w:p>
    <w:p w14:paraId="70D017A4" w14:textId="224EFD9E" w:rsidR="3EF9B98B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6">
        <w:r w:rsidR="3EF9B98B" w:rsidRPr="4B091CD6">
          <w:rPr>
            <w:rStyle w:val="Hyperlink"/>
          </w:rPr>
          <w:t>Technician Commitment</w:t>
        </w:r>
      </w:hyperlink>
    </w:p>
    <w:p w14:paraId="45D9AA75" w14:textId="58AC36E6" w:rsidR="3EF9B98B" w:rsidRDefault="00BF652F" w:rsidP="4B091CD6">
      <w:pPr>
        <w:pStyle w:val="ListParagraph"/>
        <w:numPr>
          <w:ilvl w:val="0"/>
          <w:numId w:val="1"/>
        </w:numPr>
        <w:rPr>
          <w:color w:val="3A3A3A" w:themeColor="background2" w:themeShade="40"/>
        </w:rPr>
      </w:pPr>
      <w:hyperlink r:id="rId27">
        <w:r w:rsidR="3EF9B98B" w:rsidRPr="4B091CD6">
          <w:rPr>
            <w:rStyle w:val="Hyperlink"/>
          </w:rPr>
          <w:t>UKRI Statement of Expectations for Doctoral Training</w:t>
        </w:r>
      </w:hyperlink>
    </w:p>
    <w:p w14:paraId="1B9535DA" w14:textId="2D9ED09A" w:rsidR="4B091CD6" w:rsidRDefault="4B091CD6" w:rsidP="4B091CD6"/>
    <w:p w14:paraId="376BD83D" w14:textId="025F4431" w:rsidR="56C11A5A" w:rsidRDefault="56C11A5A" w:rsidP="4B091CD6">
      <w:pPr>
        <w:pStyle w:val="Heading1"/>
      </w:pPr>
      <w:r>
        <w:t>Professional</w:t>
      </w:r>
      <w:r w:rsidR="1621AA23">
        <w:t xml:space="preserve"> development</w:t>
      </w:r>
    </w:p>
    <w:p w14:paraId="72396674" w14:textId="3655E1F3" w:rsidR="1621AA23" w:rsidRDefault="1621AA23" w:rsidP="4B091CD6">
      <w:pPr>
        <w:pStyle w:val="ListParagraph"/>
        <w:numPr>
          <w:ilvl w:val="0"/>
          <w:numId w:val="5"/>
        </w:numPr>
      </w:pPr>
      <w:r>
        <w:t xml:space="preserve">The </w:t>
      </w:r>
      <w:hyperlink r:id="rId28">
        <w:r w:rsidRPr="4B091CD6">
          <w:rPr>
            <w:rStyle w:val="Hyperlink"/>
          </w:rPr>
          <w:t>I</w:t>
        </w:r>
        <w:r w:rsidR="1D3AB834" w:rsidRPr="4B091CD6">
          <w:rPr>
            <w:rStyle w:val="Hyperlink"/>
          </w:rPr>
          <w:t>n</w:t>
        </w:r>
        <w:r w:rsidRPr="4B091CD6">
          <w:rPr>
            <w:rStyle w:val="Hyperlink"/>
          </w:rPr>
          <w:t>stitute for A</w:t>
        </w:r>
        <w:r w:rsidR="25E33734" w:rsidRPr="4B091CD6">
          <w:rPr>
            <w:rStyle w:val="Hyperlink"/>
          </w:rPr>
          <w:t>c</w:t>
        </w:r>
        <w:r w:rsidRPr="4B091CD6">
          <w:rPr>
            <w:rStyle w:val="Hyperlink"/>
          </w:rPr>
          <w:t>ademic Development</w:t>
        </w:r>
      </w:hyperlink>
      <w:r w:rsidR="13CF65BF">
        <w:t xml:space="preserve"> provides University level support for teaching, learning and researcher development. </w:t>
      </w:r>
      <w:r w:rsidR="30EB2780">
        <w:t xml:space="preserve">The IAD offers </w:t>
      </w:r>
      <w:hyperlink r:id="rId29">
        <w:r w:rsidR="30EB2780" w:rsidRPr="4B091CD6">
          <w:rPr>
            <w:rStyle w:val="Hyperlink"/>
          </w:rPr>
          <w:t>development opportunities for researchers</w:t>
        </w:r>
      </w:hyperlink>
      <w:r w:rsidR="30EB2780">
        <w:t xml:space="preserve"> at all career stages, as well as professional development opportunities and resources for </w:t>
      </w:r>
      <w:hyperlink r:id="rId30">
        <w:r w:rsidR="30EB2780" w:rsidRPr="4B091CD6">
          <w:rPr>
            <w:rStyle w:val="Hyperlink"/>
          </w:rPr>
          <w:t>staff involved with learning and teaching</w:t>
        </w:r>
      </w:hyperlink>
      <w:r w:rsidR="30EB2780">
        <w:t xml:space="preserve"> at all stages of their career.</w:t>
      </w:r>
    </w:p>
    <w:p w14:paraId="5499C92B" w14:textId="57DDB054" w:rsidR="1415083C" w:rsidRDefault="1415083C" w:rsidP="4B091CD6">
      <w:pPr>
        <w:pStyle w:val="ListParagraph"/>
        <w:numPr>
          <w:ilvl w:val="0"/>
          <w:numId w:val="5"/>
        </w:numPr>
      </w:pPr>
      <w:r>
        <w:t xml:space="preserve">Human Resources </w:t>
      </w:r>
      <w:hyperlink r:id="rId31">
        <w:r w:rsidRPr="4B091CD6">
          <w:rPr>
            <w:rStyle w:val="Hyperlink"/>
          </w:rPr>
          <w:t>Talent &amp; Development</w:t>
        </w:r>
      </w:hyperlink>
      <w:r>
        <w:t xml:space="preserve"> provide development opportunities for all staff, and have oversight over </w:t>
      </w:r>
      <w:hyperlink r:id="rId32">
        <w:r w:rsidRPr="4B091CD6">
          <w:rPr>
            <w:rStyle w:val="Hyperlink"/>
          </w:rPr>
          <w:t>academic promotions</w:t>
        </w:r>
        <w:r w:rsidR="680E529B" w:rsidRPr="4B091CD6">
          <w:rPr>
            <w:rStyle w:val="Hyperlink"/>
          </w:rPr>
          <w:t>.</w:t>
        </w:r>
      </w:hyperlink>
    </w:p>
    <w:p w14:paraId="6E4F88DC" w14:textId="2AD50F41" w:rsidR="4B091CD6" w:rsidRDefault="4B091CD6"/>
    <w:p w14:paraId="62D31175" w14:textId="788294A0" w:rsidR="4B091CD6" w:rsidRDefault="4B091CD6"/>
    <w:p w14:paraId="2B568332" w14:textId="6647B009" w:rsidR="4B091CD6" w:rsidRDefault="4B091CD6"/>
    <w:sectPr w:rsidR="4B091CD6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0132" w14:textId="77777777" w:rsidR="00000000" w:rsidRDefault="00BF652F">
      <w:pPr>
        <w:spacing w:after="0" w:line="240" w:lineRule="auto"/>
      </w:pPr>
      <w:r>
        <w:separator/>
      </w:r>
    </w:p>
  </w:endnote>
  <w:endnote w:type="continuationSeparator" w:id="0">
    <w:p w14:paraId="7D8CA67F" w14:textId="77777777" w:rsidR="00000000" w:rsidRDefault="00BF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4B091CD6" w14:paraId="40EAA626" w14:textId="77777777" w:rsidTr="4B091CD6">
      <w:trPr>
        <w:trHeight w:val="300"/>
      </w:trPr>
      <w:tc>
        <w:tcPr>
          <w:tcW w:w="9472" w:type="dxa"/>
          <w:vAlign w:val="center"/>
        </w:tcPr>
        <w:p w14:paraId="70666C6B" w14:textId="730814E9" w:rsidR="4B091CD6" w:rsidRDefault="4B091CD6" w:rsidP="4B091CD6">
          <w:pPr>
            <w:pStyle w:val="Header"/>
            <w:rPr>
              <w:sz w:val="20"/>
              <w:szCs w:val="20"/>
            </w:rPr>
          </w:pPr>
          <w:r w:rsidRPr="4B091CD6">
            <w:rPr>
              <w:sz w:val="20"/>
              <w:szCs w:val="20"/>
            </w:rPr>
            <w:t xml:space="preserve">This document was last updated in January 2025. Please email </w:t>
          </w:r>
          <w:hyperlink r:id="rId1">
            <w:r w:rsidRPr="4B091CD6">
              <w:rPr>
                <w:rStyle w:val="Hyperlink"/>
                <w:sz w:val="20"/>
                <w:szCs w:val="20"/>
              </w:rPr>
              <w:t>iad.researchers@ed.ac.uk</w:t>
            </w:r>
          </w:hyperlink>
          <w:r w:rsidRPr="4B091CD6">
            <w:rPr>
              <w:sz w:val="20"/>
              <w:szCs w:val="20"/>
            </w:rPr>
            <w:t xml:space="preserve"> for any errors or to request an alternative format.</w:t>
          </w:r>
        </w:p>
      </w:tc>
    </w:tr>
  </w:tbl>
  <w:p w14:paraId="1C6D2C86" w14:textId="651E930E" w:rsidR="4B091CD6" w:rsidRDefault="4B091CD6" w:rsidP="4B09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88D9" w14:textId="77777777" w:rsidR="00000000" w:rsidRDefault="00BF652F">
      <w:pPr>
        <w:spacing w:after="0" w:line="240" w:lineRule="auto"/>
      </w:pPr>
      <w:r>
        <w:separator/>
      </w:r>
    </w:p>
  </w:footnote>
  <w:footnote w:type="continuationSeparator" w:id="0">
    <w:p w14:paraId="0CBBD456" w14:textId="77777777" w:rsidR="00000000" w:rsidRDefault="00BF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091CD6" w14:paraId="0CB36336" w14:textId="77777777" w:rsidTr="4B091CD6">
      <w:trPr>
        <w:trHeight w:val="300"/>
      </w:trPr>
      <w:tc>
        <w:tcPr>
          <w:tcW w:w="3120" w:type="dxa"/>
        </w:tcPr>
        <w:p w14:paraId="367EEC1B" w14:textId="19674948" w:rsidR="4B091CD6" w:rsidRDefault="4B091CD6" w:rsidP="4B091CD6">
          <w:pPr>
            <w:pStyle w:val="Header"/>
            <w:ind w:left="-115"/>
          </w:pPr>
        </w:p>
      </w:tc>
      <w:tc>
        <w:tcPr>
          <w:tcW w:w="3120" w:type="dxa"/>
        </w:tcPr>
        <w:p w14:paraId="0BCA7F17" w14:textId="7E9592D8" w:rsidR="4B091CD6" w:rsidRDefault="4B091CD6" w:rsidP="4B091CD6">
          <w:pPr>
            <w:pStyle w:val="Header"/>
            <w:jc w:val="center"/>
          </w:pPr>
        </w:p>
      </w:tc>
      <w:tc>
        <w:tcPr>
          <w:tcW w:w="3120" w:type="dxa"/>
        </w:tcPr>
        <w:p w14:paraId="2C8F1F4E" w14:textId="545E2A49" w:rsidR="4B091CD6" w:rsidRDefault="4B091CD6" w:rsidP="4B091CD6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B8F123B" wp14:editId="1EF5F035">
                <wp:extent cx="1838325" cy="838200"/>
                <wp:effectExtent l="0" t="0" r="0" b="0"/>
                <wp:docPr id="2090998624" name="Picture 2090998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BF16E1" w14:textId="5695D426" w:rsidR="4B091CD6" w:rsidRDefault="4B091CD6" w:rsidP="4B09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DC4"/>
    <w:multiLevelType w:val="hybridMultilevel"/>
    <w:tmpl w:val="9C2E2684"/>
    <w:lvl w:ilvl="0" w:tplc="DC3EE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2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47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AC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8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CA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63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9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BCB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CB8F"/>
    <w:multiLevelType w:val="hybridMultilevel"/>
    <w:tmpl w:val="E0500F32"/>
    <w:lvl w:ilvl="0" w:tplc="37E4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2A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A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8A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84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2E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E9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23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8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17E8"/>
    <w:multiLevelType w:val="hybridMultilevel"/>
    <w:tmpl w:val="50CAB7F0"/>
    <w:lvl w:ilvl="0" w:tplc="F2507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63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44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CE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40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AC8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4F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E2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8BCA3"/>
    <w:multiLevelType w:val="hybridMultilevel"/>
    <w:tmpl w:val="D59660C4"/>
    <w:lvl w:ilvl="0" w:tplc="D242E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68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61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1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A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E0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1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B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A0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E4D8C"/>
    <w:multiLevelType w:val="hybridMultilevel"/>
    <w:tmpl w:val="C3D69326"/>
    <w:lvl w:ilvl="0" w:tplc="8FC2A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29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63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8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40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E6B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40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AC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65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02405F"/>
    <w:rsid w:val="0000CB46"/>
    <w:rsid w:val="00166437"/>
    <w:rsid w:val="008C9DCB"/>
    <w:rsid w:val="00BF652F"/>
    <w:rsid w:val="00FFCFBE"/>
    <w:rsid w:val="0286F020"/>
    <w:rsid w:val="02977F2A"/>
    <w:rsid w:val="037A8CC2"/>
    <w:rsid w:val="0412510E"/>
    <w:rsid w:val="044CB612"/>
    <w:rsid w:val="04A206D2"/>
    <w:rsid w:val="057F4E9B"/>
    <w:rsid w:val="059AF8BA"/>
    <w:rsid w:val="074D4482"/>
    <w:rsid w:val="0A41C0D4"/>
    <w:rsid w:val="0C664C0B"/>
    <w:rsid w:val="0D35521E"/>
    <w:rsid w:val="0DA98168"/>
    <w:rsid w:val="0DBFFAC5"/>
    <w:rsid w:val="0E6FAE6D"/>
    <w:rsid w:val="0E7213A9"/>
    <w:rsid w:val="10E1E27A"/>
    <w:rsid w:val="1169FFA1"/>
    <w:rsid w:val="1230FE54"/>
    <w:rsid w:val="12DB7CF1"/>
    <w:rsid w:val="13CF65BF"/>
    <w:rsid w:val="13E28E06"/>
    <w:rsid w:val="1413390F"/>
    <w:rsid w:val="1415083C"/>
    <w:rsid w:val="16085BB4"/>
    <w:rsid w:val="1621AA23"/>
    <w:rsid w:val="16E0135C"/>
    <w:rsid w:val="17578303"/>
    <w:rsid w:val="18886059"/>
    <w:rsid w:val="1960525B"/>
    <w:rsid w:val="1978C936"/>
    <w:rsid w:val="1A69C14A"/>
    <w:rsid w:val="1B59474C"/>
    <w:rsid w:val="1D3AB834"/>
    <w:rsid w:val="1E9148EA"/>
    <w:rsid w:val="1E9FC840"/>
    <w:rsid w:val="1F0C91B8"/>
    <w:rsid w:val="2005B270"/>
    <w:rsid w:val="2060F83C"/>
    <w:rsid w:val="22220C91"/>
    <w:rsid w:val="23DFE5AC"/>
    <w:rsid w:val="2425DA19"/>
    <w:rsid w:val="25E33734"/>
    <w:rsid w:val="26560756"/>
    <w:rsid w:val="2681FEBF"/>
    <w:rsid w:val="26CC8248"/>
    <w:rsid w:val="289394D6"/>
    <w:rsid w:val="28C07D60"/>
    <w:rsid w:val="292A4D54"/>
    <w:rsid w:val="29F709D0"/>
    <w:rsid w:val="2A22BE71"/>
    <w:rsid w:val="2A285130"/>
    <w:rsid w:val="2A917A23"/>
    <w:rsid w:val="2AE59F12"/>
    <w:rsid w:val="2B1481A4"/>
    <w:rsid w:val="2C124E16"/>
    <w:rsid w:val="2CD3E21C"/>
    <w:rsid w:val="2DCCC16F"/>
    <w:rsid w:val="2F00119A"/>
    <w:rsid w:val="2F9A99B0"/>
    <w:rsid w:val="304213D5"/>
    <w:rsid w:val="304C7415"/>
    <w:rsid w:val="30601295"/>
    <w:rsid w:val="30EB2780"/>
    <w:rsid w:val="328D2823"/>
    <w:rsid w:val="344730B4"/>
    <w:rsid w:val="35514260"/>
    <w:rsid w:val="39264BC1"/>
    <w:rsid w:val="3A35B4FB"/>
    <w:rsid w:val="3A8E5905"/>
    <w:rsid w:val="3AB1DC2F"/>
    <w:rsid w:val="3B1006C3"/>
    <w:rsid w:val="3B8A086F"/>
    <w:rsid w:val="3BC6D2ED"/>
    <w:rsid w:val="3BC9D590"/>
    <w:rsid w:val="3C6D37BA"/>
    <w:rsid w:val="3C7D14DE"/>
    <w:rsid w:val="3D09444C"/>
    <w:rsid w:val="3D2439A6"/>
    <w:rsid w:val="3EA83151"/>
    <w:rsid w:val="3EF9B98B"/>
    <w:rsid w:val="3F15EF22"/>
    <w:rsid w:val="3F4F2660"/>
    <w:rsid w:val="3FEAA507"/>
    <w:rsid w:val="408BA120"/>
    <w:rsid w:val="40B46E7A"/>
    <w:rsid w:val="4202405F"/>
    <w:rsid w:val="43A72583"/>
    <w:rsid w:val="4546D0CD"/>
    <w:rsid w:val="45821AEB"/>
    <w:rsid w:val="45A9B775"/>
    <w:rsid w:val="46734AC2"/>
    <w:rsid w:val="46AC5C25"/>
    <w:rsid w:val="481E8F93"/>
    <w:rsid w:val="4A3DE204"/>
    <w:rsid w:val="4AB291CA"/>
    <w:rsid w:val="4AD5CF63"/>
    <w:rsid w:val="4AEE0945"/>
    <w:rsid w:val="4AFC324F"/>
    <w:rsid w:val="4B091CD6"/>
    <w:rsid w:val="4B5B2B8E"/>
    <w:rsid w:val="4F1C73DB"/>
    <w:rsid w:val="508B5CD7"/>
    <w:rsid w:val="51DF764C"/>
    <w:rsid w:val="5217608D"/>
    <w:rsid w:val="543BBC7B"/>
    <w:rsid w:val="54423928"/>
    <w:rsid w:val="55022466"/>
    <w:rsid w:val="55FCF4E5"/>
    <w:rsid w:val="56328547"/>
    <w:rsid w:val="56C11A5A"/>
    <w:rsid w:val="57DE1F9C"/>
    <w:rsid w:val="595933E7"/>
    <w:rsid w:val="5984F281"/>
    <w:rsid w:val="59B6B89A"/>
    <w:rsid w:val="59EF688F"/>
    <w:rsid w:val="5B236866"/>
    <w:rsid w:val="5B3496C0"/>
    <w:rsid w:val="5B3F8A2E"/>
    <w:rsid w:val="5BE1AC3B"/>
    <w:rsid w:val="5C9AE1F2"/>
    <w:rsid w:val="5D1094CD"/>
    <w:rsid w:val="5D7A49F9"/>
    <w:rsid w:val="5EB85C3A"/>
    <w:rsid w:val="605711A3"/>
    <w:rsid w:val="60D55B44"/>
    <w:rsid w:val="61BEB864"/>
    <w:rsid w:val="621C6B99"/>
    <w:rsid w:val="62C63751"/>
    <w:rsid w:val="62F7C6C9"/>
    <w:rsid w:val="63BC6B61"/>
    <w:rsid w:val="63EF7D46"/>
    <w:rsid w:val="642495EE"/>
    <w:rsid w:val="64C62EFF"/>
    <w:rsid w:val="64C7A678"/>
    <w:rsid w:val="66CD6F53"/>
    <w:rsid w:val="67EC13E0"/>
    <w:rsid w:val="680E529B"/>
    <w:rsid w:val="68F92FB7"/>
    <w:rsid w:val="698F00DD"/>
    <w:rsid w:val="6B32E2B7"/>
    <w:rsid w:val="6C45180C"/>
    <w:rsid w:val="6CAF87B8"/>
    <w:rsid w:val="6DAF0E39"/>
    <w:rsid w:val="6E72114A"/>
    <w:rsid w:val="6E99F9B5"/>
    <w:rsid w:val="70122034"/>
    <w:rsid w:val="709219DE"/>
    <w:rsid w:val="70C84015"/>
    <w:rsid w:val="70FF8C3C"/>
    <w:rsid w:val="71C2502C"/>
    <w:rsid w:val="72EB9069"/>
    <w:rsid w:val="72F04769"/>
    <w:rsid w:val="73019340"/>
    <w:rsid w:val="743933B3"/>
    <w:rsid w:val="75BF2F91"/>
    <w:rsid w:val="7654AE02"/>
    <w:rsid w:val="777D0AE6"/>
    <w:rsid w:val="795AE319"/>
    <w:rsid w:val="7A2557FA"/>
    <w:rsid w:val="7A4B240E"/>
    <w:rsid w:val="7C428569"/>
    <w:rsid w:val="7C921253"/>
    <w:rsid w:val="7DB68E5C"/>
    <w:rsid w:val="7DCD4970"/>
    <w:rsid w:val="7E1A4626"/>
    <w:rsid w:val="7E5653A4"/>
    <w:rsid w:val="7E77F24B"/>
    <w:rsid w:val="7F60A99B"/>
    <w:rsid w:val="7F7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9317"/>
  <w15:chartTrackingRefBased/>
  <w15:docId w15:val="{89E3A14F-2C2E-41F6-AC3A-E88D9F8E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B091CD6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4B091CD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4B091CD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4B091CD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e.sharepoint.com/sites/ResearchSupportOfficeIntelligence/SitePages/Leaders/Research-Strategy.aspx" TargetMode="External"/><Relationship Id="rId18" Type="http://schemas.openxmlformats.org/officeDocument/2006/relationships/hyperlink" Target="https://wellcome.org/what-we-do/our-work/environmental-sustainability-concordat" TargetMode="External"/><Relationship Id="rId26" Type="http://schemas.openxmlformats.org/officeDocument/2006/relationships/hyperlink" Target="https://www.ed.ac.uk/technicians/technician-commit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ublicengagement.ac.uk/manifesto-public-engagement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uoe.sharepoint.com/sites/ResearchSupportOfficeIntelligence/SitePages/ResearchPolicyInsightsHub/Research-Policy-Insights.aspx" TargetMode="External"/><Relationship Id="rId17" Type="http://schemas.openxmlformats.org/officeDocument/2006/relationships/hyperlink" Target="https://www.ed.ac.uk/researchers/concordat" TargetMode="External"/><Relationship Id="rId25" Type="http://schemas.openxmlformats.org/officeDocument/2006/relationships/hyperlink" Target="https://www.ed.ac.uk/equality-diversity/inclusion/lgbt-equality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.ac.uk/equality-diversity/inclusion/athena-swan" TargetMode="External"/><Relationship Id="rId20" Type="http://schemas.openxmlformats.org/officeDocument/2006/relationships/hyperlink" Target="https://concordatopenness.org.uk/" TargetMode="External"/><Relationship Id="rId29" Type="http://schemas.openxmlformats.org/officeDocument/2006/relationships/hyperlink" Target="https://institute-academic-development.ed.ac.uk/research-ro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-office.ed.ac.uk/intelligence-insights" TargetMode="External"/><Relationship Id="rId24" Type="http://schemas.openxmlformats.org/officeDocument/2006/relationships/hyperlink" Target="https://coara.eu/" TargetMode="External"/><Relationship Id="rId32" Type="http://schemas.openxmlformats.org/officeDocument/2006/relationships/hyperlink" Target="https://human-resources.ed.ac.uk/pay-reward/academic-promo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d.ac.uk/research-innovation/research-cultures" TargetMode="External"/><Relationship Id="rId23" Type="http://schemas.openxmlformats.org/officeDocument/2006/relationships/hyperlink" Target="https://www.ed.ac.uk/research-office/research-talent-and-culture/research-evaluation-and-responsible-metrics" TargetMode="External"/><Relationship Id="rId28" Type="http://schemas.openxmlformats.org/officeDocument/2006/relationships/hyperlink" Target="https://institute-academic-development.ed.ac.uk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lfdevnet.com/toolkit/uk-research-environment-toolkit/" TargetMode="External"/><Relationship Id="rId19" Type="http://schemas.openxmlformats.org/officeDocument/2006/relationships/hyperlink" Target="https://www.ed.ac.uk/research-office/research-integrity/our-commitment" TargetMode="External"/><Relationship Id="rId31" Type="http://schemas.openxmlformats.org/officeDocument/2006/relationships/hyperlink" Target="https://human-resources.ed.ac.uk/learning-develop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oe.sharepoint.com/sites/ResearchExcellenceFramework" TargetMode="External"/><Relationship Id="rId22" Type="http://schemas.openxmlformats.org/officeDocument/2006/relationships/hyperlink" Target="https://www.ed.ac.uk/equality-diversity/inclusion/race" TargetMode="External"/><Relationship Id="rId27" Type="http://schemas.openxmlformats.org/officeDocument/2006/relationships/hyperlink" Target="https://www.ukri.org/publications/statement-of-expectations-for-doctoral-training/" TargetMode="External"/><Relationship Id="rId30" Type="http://schemas.openxmlformats.org/officeDocument/2006/relationships/hyperlink" Target="https://institute-academic-development.ed.ac.uk/learning-teaching" TargetMode="Externa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ad.researchers@e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117BA4B6B047A6E31594D39FFE1C" ma:contentTypeVersion="19" ma:contentTypeDescription="Create a new document." ma:contentTypeScope="" ma:versionID="989097e4d3d343edc40690d1faad0268">
  <xsd:schema xmlns:xsd="http://www.w3.org/2001/XMLSchema" xmlns:xs="http://www.w3.org/2001/XMLSchema" xmlns:p="http://schemas.microsoft.com/office/2006/metadata/properties" xmlns:ns2="e464705b-7b8e-455a-8d87-033e86e00802" xmlns:ns3="95614e7e-616b-45dc-977d-d64f4ca97c79" targetNamespace="http://schemas.microsoft.com/office/2006/metadata/properties" ma:root="true" ma:fieldsID="a5be1d234bd32515f0324a29010d2844" ns2:_="" ns3:_="">
    <xsd:import namespace="e464705b-7b8e-455a-8d87-033e86e00802"/>
    <xsd:import namespace="95614e7e-616b-45dc-977d-d64f4ca97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705b-7b8e-455a-8d87-033e86e00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3" nillable="true" ma:displayName="Notes" ma:description="Any relevant notes - date review needed by etc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4e7e-616b-45dc-977d-d64f4ca97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75d04b-8bd1-442d-aba2-1cd7078741c4}" ma:internalName="TaxCatchAll" ma:showField="CatchAllData" ma:web="95614e7e-616b-45dc-977d-d64f4ca97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4705b-7b8e-455a-8d87-033e86e00802">
      <Terms xmlns="http://schemas.microsoft.com/office/infopath/2007/PartnerControls"/>
    </lcf76f155ced4ddcb4097134ff3c332f>
    <Notes xmlns="e464705b-7b8e-455a-8d87-033e86e00802" xsi:nil="true"/>
    <TaxCatchAll xmlns="95614e7e-616b-45dc-977d-d64f4ca97c79" xsi:nil="true"/>
  </documentManagement>
</p:properties>
</file>

<file path=customXml/itemProps1.xml><?xml version="1.0" encoding="utf-8"?>
<ds:datastoreItem xmlns:ds="http://schemas.openxmlformats.org/officeDocument/2006/customXml" ds:itemID="{95AD6050-5289-4C68-A200-4520936A6B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60A79-0C6B-4E6C-917A-D49CF34B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705b-7b8e-455a-8d87-033e86e00802"/>
    <ds:schemaRef ds:uri="95614e7e-616b-45dc-977d-d64f4ca97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CADBA-8F2E-4592-A3F9-C720F7FED754}">
  <ds:schemaRefs>
    <ds:schemaRef ds:uri="http://schemas.microsoft.com/office/2006/metadata/properties"/>
    <ds:schemaRef ds:uri="http://schemas.microsoft.com/office/infopath/2007/PartnerControls"/>
    <ds:schemaRef ds:uri="e464705b-7b8e-455a-8d87-033e86e00802"/>
    <ds:schemaRef ds:uri="95614e7e-616b-45dc-977d-d64f4ca97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Woollen</dc:creator>
  <cp:keywords/>
  <dc:description/>
  <cp:lastModifiedBy>Natalie Poyser</cp:lastModifiedBy>
  <cp:revision>3</cp:revision>
  <dcterms:created xsi:type="dcterms:W3CDTF">2025-01-29T15:27:00Z</dcterms:created>
  <dcterms:modified xsi:type="dcterms:W3CDTF">2025-01-29T15:28:00Z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0x010100CEE0117BA4B6B047A6E31594D39FFE1C</vt:lpwstr>
  </property>
  <property fmtid="{D5CDD505-2E9C-101B-9397-08002B2CF9AE}" pid="3" name="MediaServiceImageTags">
    <vt:lpwstr/>
  </property>
</Properties>
</file>