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4CA1" w14:textId="38319436" w:rsidR="00F67BAA" w:rsidRDefault="00F67BAA" w:rsidP="00F67BAA">
      <w:pPr>
        <w:spacing w:after="0" w:line="240" w:lineRule="auto"/>
        <w:rPr>
          <w:b/>
          <w:sz w:val="24"/>
          <w:szCs w:val="24"/>
        </w:rPr>
      </w:pPr>
      <w:r w:rsidRPr="00F67BAA">
        <w:rPr>
          <w:b/>
          <w:sz w:val="24"/>
          <w:szCs w:val="24"/>
        </w:rPr>
        <w:t xml:space="preserve">Do you have an idea that </w:t>
      </w:r>
      <w:r w:rsidR="00301818">
        <w:rPr>
          <w:b/>
          <w:sz w:val="24"/>
          <w:szCs w:val="24"/>
        </w:rPr>
        <w:t>involves</w:t>
      </w:r>
      <w:r w:rsidR="008853F7">
        <w:rPr>
          <w:b/>
          <w:sz w:val="24"/>
          <w:szCs w:val="24"/>
        </w:rPr>
        <w:t xml:space="preserve"> students and staff working together in partnership to enhance the student experience? </w:t>
      </w:r>
      <w:r w:rsidR="00DA4A4D">
        <w:rPr>
          <w:b/>
          <w:sz w:val="24"/>
          <w:szCs w:val="24"/>
        </w:rPr>
        <w:t xml:space="preserve"> </w:t>
      </w:r>
      <w:r w:rsidRPr="00F67BAA">
        <w:rPr>
          <w:b/>
          <w:sz w:val="24"/>
          <w:szCs w:val="24"/>
        </w:rPr>
        <w:t>Applications for small project funding are invited from staff and students (up to a maximum of £</w:t>
      </w:r>
      <w:r w:rsidR="00A60D8C">
        <w:rPr>
          <w:b/>
          <w:sz w:val="24"/>
          <w:szCs w:val="24"/>
        </w:rPr>
        <w:t>1000</w:t>
      </w:r>
      <w:r w:rsidRPr="00F67BAA">
        <w:rPr>
          <w:b/>
          <w:sz w:val="24"/>
          <w:szCs w:val="24"/>
        </w:rPr>
        <w:t>) to help turn your idea into a reality.</w:t>
      </w:r>
      <w:r w:rsidR="00497FB4">
        <w:rPr>
          <w:b/>
          <w:sz w:val="24"/>
          <w:szCs w:val="24"/>
        </w:rPr>
        <w:t xml:space="preserve"> </w:t>
      </w:r>
    </w:p>
    <w:p w14:paraId="3FFF6D44" w14:textId="77777777" w:rsidR="00F67BAA" w:rsidRDefault="00F67BAA" w:rsidP="00F67BAA">
      <w:pPr>
        <w:spacing w:after="0" w:line="240" w:lineRule="auto"/>
        <w:rPr>
          <w:b/>
        </w:rPr>
      </w:pPr>
    </w:p>
    <w:p w14:paraId="450FAD0F" w14:textId="77777777" w:rsidR="003F01CB" w:rsidRDefault="003F01CB" w:rsidP="003F01CB">
      <w:pPr>
        <w:shd w:val="pct25" w:color="auto" w:fill="auto"/>
        <w:spacing w:after="0" w:line="240" w:lineRule="auto"/>
        <w:rPr>
          <w:b/>
        </w:rPr>
      </w:pPr>
      <w:r>
        <w:rPr>
          <w:b/>
        </w:rPr>
        <w:t>Application Process</w:t>
      </w:r>
    </w:p>
    <w:p w14:paraId="2A065B02" w14:textId="04F47CAA" w:rsidR="00C32E7A" w:rsidRDefault="003F01CB" w:rsidP="003F01CB">
      <w:pPr>
        <w:spacing w:after="0" w:line="240" w:lineRule="auto"/>
      </w:pPr>
      <w:r>
        <w:t>Complete</w:t>
      </w:r>
      <w:r w:rsidR="00334AA1">
        <w:t xml:space="preserve"> the </w:t>
      </w:r>
      <w:r w:rsidR="008853F7">
        <w:t xml:space="preserve">Student Partnership Agreement (SPA) </w:t>
      </w:r>
      <w:r w:rsidR="00334AA1">
        <w:t>small project funding</w:t>
      </w:r>
      <w:r w:rsidR="00301818">
        <w:t xml:space="preserve"> application</w:t>
      </w:r>
      <w:r w:rsidR="00334AA1">
        <w:t xml:space="preserve"> form</w:t>
      </w:r>
      <w:r w:rsidR="00301818">
        <w:t xml:space="preserve"> online</w:t>
      </w:r>
      <w:r w:rsidR="0031703D">
        <w:t xml:space="preserve"> including attaching</w:t>
      </w:r>
      <w:r w:rsidR="004B430B">
        <w:t xml:space="preserve"> your Costing Information Sheet. </w:t>
      </w:r>
      <w:r w:rsidR="00750F76">
        <w:t>A</w:t>
      </w:r>
      <w:r>
        <w:t xml:space="preserve"> panel</w:t>
      </w:r>
      <w:r w:rsidR="008853F7">
        <w:rPr>
          <w:rStyle w:val="FootnoteReference"/>
        </w:rPr>
        <w:footnoteReference w:id="1"/>
      </w:r>
      <w:r>
        <w:t xml:space="preserve"> will consider applications</w:t>
      </w:r>
      <w:r w:rsidR="00334AA1">
        <w:t xml:space="preserve"> against the </w:t>
      </w:r>
      <w:r w:rsidR="00301818">
        <w:t xml:space="preserve">funding </w:t>
      </w:r>
      <w:r w:rsidR="00334AA1">
        <w:t>criteria</w:t>
      </w:r>
      <w:r w:rsidR="00C32E7A">
        <w:t xml:space="preserve"> outlined in the next section.</w:t>
      </w:r>
      <w:r w:rsidR="004B430B">
        <w:t xml:space="preserve"> We recommend if you are a student</w:t>
      </w:r>
      <w:r w:rsidR="0031703D">
        <w:t xml:space="preserve"> leading the application</w:t>
      </w:r>
      <w:r w:rsidR="004B430B">
        <w:t>, that you collaborate with a staff member to complete the costing information sheet.</w:t>
      </w:r>
    </w:p>
    <w:p w14:paraId="59ACCF11" w14:textId="59F90EC6" w:rsidR="003F01CB" w:rsidRPr="00C32E7A" w:rsidRDefault="003F01CB" w:rsidP="00C32E7A">
      <w:pPr>
        <w:pStyle w:val="NoSpacing"/>
      </w:pPr>
    </w:p>
    <w:p w14:paraId="5590980A" w14:textId="77777777" w:rsidR="005322C9" w:rsidRDefault="00F67BAA" w:rsidP="00F67BAA">
      <w:pPr>
        <w:shd w:val="pct25" w:color="auto" w:fill="auto"/>
        <w:spacing w:after="0" w:line="240" w:lineRule="auto"/>
        <w:rPr>
          <w:b/>
        </w:rPr>
      </w:pPr>
      <w:r>
        <w:rPr>
          <w:b/>
        </w:rPr>
        <w:t>Criteria</w:t>
      </w:r>
    </w:p>
    <w:p w14:paraId="11A79EC4" w14:textId="77777777" w:rsidR="00750F76" w:rsidRDefault="00750F76" w:rsidP="00F67BAA">
      <w:pPr>
        <w:spacing w:after="0" w:line="240" w:lineRule="auto"/>
        <w:rPr>
          <w:rFonts w:eastAsia="Times New Roman" w:cs="Helvetica"/>
          <w:color w:val="000000" w:themeColor="text1"/>
          <w:lang w:val="en" w:eastAsia="en-GB"/>
        </w:rPr>
      </w:pPr>
    </w:p>
    <w:p w14:paraId="0B8B62CF" w14:textId="5FA31AAA" w:rsidR="00782804" w:rsidRDefault="00497FB4" w:rsidP="00301818">
      <w:pPr>
        <w:pStyle w:val="ListParagraph"/>
        <w:numPr>
          <w:ilvl w:val="0"/>
          <w:numId w:val="11"/>
        </w:numPr>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Projects </w:t>
      </w:r>
      <w:r w:rsidRPr="00301818">
        <w:rPr>
          <w:rFonts w:eastAsia="Times New Roman" w:cs="Helvetica"/>
          <w:b/>
          <w:color w:val="000000" w:themeColor="text1"/>
          <w:lang w:val="en" w:eastAsia="en-GB"/>
        </w:rPr>
        <w:t>must</w:t>
      </w:r>
      <w:r w:rsidRPr="00301818">
        <w:rPr>
          <w:rFonts w:eastAsia="Times New Roman" w:cs="Helvetica"/>
          <w:color w:val="000000" w:themeColor="text1"/>
          <w:lang w:val="en" w:eastAsia="en-GB"/>
        </w:rPr>
        <w:t xml:space="preserve"> </w:t>
      </w:r>
      <w:r w:rsidR="00DA4A4D" w:rsidRPr="00301818">
        <w:rPr>
          <w:rFonts w:eastAsia="Times New Roman" w:cs="Helvetica"/>
          <w:color w:val="000000" w:themeColor="text1"/>
          <w:lang w:val="en" w:eastAsia="en-GB"/>
        </w:rPr>
        <w:t xml:space="preserve">involve both students and staff </w:t>
      </w:r>
      <w:r w:rsidR="00782804">
        <w:rPr>
          <w:rFonts w:eastAsia="Times New Roman" w:cs="Helvetica"/>
          <w:color w:val="000000" w:themeColor="text1"/>
          <w:lang w:val="en" w:eastAsia="en-GB"/>
        </w:rPr>
        <w:t>as named collaborators on the application.</w:t>
      </w:r>
    </w:p>
    <w:p w14:paraId="0EC075E6" w14:textId="77777777" w:rsidR="00782804" w:rsidRDefault="00782804" w:rsidP="00C32E7A">
      <w:pPr>
        <w:pStyle w:val="ListParagraph"/>
        <w:spacing w:after="0" w:line="240" w:lineRule="auto"/>
        <w:rPr>
          <w:rFonts w:eastAsia="Times New Roman" w:cs="Helvetica"/>
          <w:color w:val="000000" w:themeColor="text1"/>
          <w:lang w:val="en" w:eastAsia="en-GB"/>
        </w:rPr>
      </w:pPr>
    </w:p>
    <w:p w14:paraId="67C8229C" w14:textId="77777777" w:rsidR="00782804" w:rsidRDefault="00782804" w:rsidP="4AC0EF81">
      <w:pPr>
        <w:pStyle w:val="ListParagraph"/>
        <w:numPr>
          <w:ilvl w:val="0"/>
          <w:numId w:val="11"/>
        </w:numPr>
        <w:spacing w:after="0" w:line="240" w:lineRule="auto"/>
        <w:rPr>
          <w:rFonts w:eastAsia="Times New Roman" w:cs="Helvetica"/>
          <w:color w:val="000000" w:themeColor="text1"/>
          <w:lang w:val="en-US" w:eastAsia="en-GB"/>
        </w:rPr>
      </w:pPr>
      <w:r w:rsidRPr="4AC0EF81">
        <w:rPr>
          <w:rFonts w:eastAsia="Times New Roman" w:cs="Helvetica"/>
          <w:color w:val="000000" w:themeColor="text1"/>
          <w:lang w:val="en-US" w:eastAsia="en-GB"/>
        </w:rPr>
        <w:t xml:space="preserve">Projects </w:t>
      </w:r>
      <w:r w:rsidRPr="4AC0EF81">
        <w:rPr>
          <w:rFonts w:eastAsia="Times New Roman" w:cs="Helvetica"/>
          <w:b/>
          <w:bCs/>
          <w:color w:val="000000" w:themeColor="text1"/>
          <w:lang w:val="en-US" w:eastAsia="en-GB"/>
        </w:rPr>
        <w:t>must</w:t>
      </w:r>
      <w:r w:rsidRPr="4AC0EF81">
        <w:rPr>
          <w:rFonts w:eastAsia="Times New Roman" w:cs="Helvetica"/>
          <w:color w:val="000000" w:themeColor="text1"/>
          <w:lang w:val="en-US" w:eastAsia="en-GB"/>
        </w:rPr>
        <w:t xml:space="preserve"> involve both students and staff in the work of the project.</w:t>
      </w:r>
    </w:p>
    <w:p w14:paraId="5D3BBE49" w14:textId="6F38BFDA" w:rsidR="00334AA1" w:rsidRPr="00334AA1" w:rsidRDefault="00334AA1" w:rsidP="00C32E7A">
      <w:pPr>
        <w:spacing w:after="0" w:line="240" w:lineRule="auto"/>
        <w:ind w:left="360"/>
        <w:rPr>
          <w:rFonts w:eastAsia="Times New Roman" w:cs="Helvetica"/>
          <w:color w:val="000000" w:themeColor="text1"/>
          <w:lang w:val="en" w:eastAsia="en-GB"/>
        </w:rPr>
      </w:pPr>
    </w:p>
    <w:p w14:paraId="0451FC23" w14:textId="77777777" w:rsidR="00C32E7A" w:rsidRDefault="00334AA1" w:rsidP="00301818">
      <w:pPr>
        <w:pStyle w:val="ListParagraph"/>
        <w:numPr>
          <w:ilvl w:val="0"/>
          <w:numId w:val="11"/>
        </w:numPr>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Projects </w:t>
      </w:r>
      <w:r w:rsidR="001F424B" w:rsidRPr="00301818">
        <w:rPr>
          <w:rFonts w:eastAsia="Times New Roman" w:cs="Helvetica"/>
          <w:color w:val="000000" w:themeColor="text1"/>
          <w:lang w:val="en" w:eastAsia="en-GB"/>
        </w:rPr>
        <w:t xml:space="preserve">should have the potential to make a </w:t>
      </w:r>
      <w:r w:rsidRPr="00301818">
        <w:rPr>
          <w:rFonts w:eastAsia="Times New Roman" w:cs="Helvetica"/>
          <w:color w:val="000000" w:themeColor="text1"/>
          <w:lang w:val="en" w:eastAsia="en-GB"/>
        </w:rPr>
        <w:t xml:space="preserve">measurable impact </w:t>
      </w:r>
      <w:r w:rsidR="001F424B" w:rsidRPr="00301818">
        <w:rPr>
          <w:rFonts w:eastAsia="Times New Roman" w:cs="Helvetica"/>
          <w:color w:val="000000" w:themeColor="text1"/>
          <w:lang w:val="en" w:eastAsia="en-GB"/>
        </w:rPr>
        <w:t xml:space="preserve">on </w:t>
      </w:r>
      <w:r w:rsidR="00DA4A4D" w:rsidRPr="00301818">
        <w:rPr>
          <w:rFonts w:eastAsia="Times New Roman" w:cs="Helvetica"/>
          <w:color w:val="000000" w:themeColor="text1"/>
          <w:lang w:val="en" w:eastAsia="en-GB"/>
        </w:rPr>
        <w:t>the student experience</w:t>
      </w:r>
      <w:r w:rsidR="00A41977" w:rsidRPr="00301818">
        <w:rPr>
          <w:rFonts w:eastAsia="Times New Roman" w:cs="Helvetica"/>
          <w:color w:val="000000" w:themeColor="text1"/>
          <w:lang w:val="en" w:eastAsia="en-GB"/>
        </w:rPr>
        <w:t>.</w:t>
      </w:r>
    </w:p>
    <w:p w14:paraId="5842762C" w14:textId="77777777" w:rsidR="00C32E7A" w:rsidRPr="00C32E7A" w:rsidRDefault="00C32E7A" w:rsidP="00C32E7A">
      <w:pPr>
        <w:pStyle w:val="ListParagraph"/>
        <w:rPr>
          <w:rFonts w:eastAsia="Times New Roman" w:cs="Helvetica"/>
          <w:color w:val="000000" w:themeColor="text1"/>
          <w:lang w:val="en" w:eastAsia="en-GB"/>
        </w:rPr>
      </w:pPr>
    </w:p>
    <w:p w14:paraId="78D07B83" w14:textId="3A207468" w:rsidR="00782804" w:rsidRDefault="00782804" w:rsidP="4AC0EF81">
      <w:pPr>
        <w:pStyle w:val="ListParagraph"/>
        <w:numPr>
          <w:ilvl w:val="0"/>
          <w:numId w:val="11"/>
        </w:numPr>
        <w:spacing w:after="0" w:line="240" w:lineRule="auto"/>
        <w:rPr>
          <w:rFonts w:eastAsia="Times New Roman" w:cs="Helvetica"/>
          <w:color w:val="000000" w:themeColor="text1"/>
          <w:lang w:val="en-US" w:eastAsia="en-GB"/>
        </w:rPr>
      </w:pPr>
      <w:r w:rsidRPr="4AC0EF81">
        <w:rPr>
          <w:rFonts w:eastAsia="Times New Roman" w:cs="Helvetica"/>
          <w:color w:val="000000" w:themeColor="text1"/>
          <w:lang w:val="en-US" w:eastAsia="en-GB"/>
        </w:rPr>
        <w:t>We expect projects to include some f</w:t>
      </w:r>
      <w:r w:rsidR="000608F0" w:rsidRPr="4AC0EF81">
        <w:rPr>
          <w:rFonts w:eastAsia="Times New Roman" w:cs="Helvetica"/>
          <w:color w:val="000000" w:themeColor="text1"/>
          <w:lang w:val="en-US" w:eastAsia="en-GB"/>
        </w:rPr>
        <w:t>orm of evaluation of activities</w:t>
      </w:r>
      <w:r w:rsidR="004B430B" w:rsidRPr="4AC0EF81">
        <w:rPr>
          <w:rFonts w:eastAsia="Times New Roman" w:cs="Helvetica"/>
          <w:color w:val="000000" w:themeColor="text1"/>
          <w:lang w:val="en-US" w:eastAsia="en-GB"/>
        </w:rPr>
        <w:t xml:space="preserve"> within the</w:t>
      </w:r>
      <w:r w:rsidR="000608F0" w:rsidRPr="4AC0EF81">
        <w:rPr>
          <w:rFonts w:eastAsia="Times New Roman" w:cs="Helvetica"/>
          <w:color w:val="000000" w:themeColor="text1"/>
          <w:lang w:val="en-US" w:eastAsia="en-GB"/>
        </w:rPr>
        <w:t xml:space="preserve"> time</w:t>
      </w:r>
      <w:r w:rsidR="004B430B" w:rsidRPr="4AC0EF81">
        <w:rPr>
          <w:rFonts w:eastAsia="Times New Roman" w:cs="Helvetica"/>
          <w:color w:val="000000" w:themeColor="text1"/>
          <w:lang w:val="en-US" w:eastAsia="en-GB"/>
        </w:rPr>
        <w:t>frame of the project</w:t>
      </w:r>
      <w:r w:rsidRPr="4AC0EF81">
        <w:rPr>
          <w:rFonts w:eastAsia="Times New Roman" w:cs="Helvetica"/>
          <w:color w:val="000000" w:themeColor="text1"/>
          <w:lang w:val="en-US" w:eastAsia="en-GB"/>
        </w:rPr>
        <w:t>.</w:t>
      </w:r>
    </w:p>
    <w:p w14:paraId="5A96400B" w14:textId="77777777" w:rsidR="00782804" w:rsidRDefault="00782804" w:rsidP="00C32E7A">
      <w:pPr>
        <w:pStyle w:val="ListParagraph"/>
        <w:spacing w:after="0" w:line="240" w:lineRule="auto"/>
        <w:rPr>
          <w:rFonts w:eastAsia="Times New Roman" w:cs="Helvetica"/>
          <w:color w:val="000000" w:themeColor="text1"/>
          <w:lang w:val="en" w:eastAsia="en-GB"/>
        </w:rPr>
      </w:pPr>
    </w:p>
    <w:p w14:paraId="44CCA71F" w14:textId="55933573" w:rsidR="00782804" w:rsidRDefault="00A41977" w:rsidP="7B72F056">
      <w:pPr>
        <w:pStyle w:val="ListParagraph"/>
        <w:numPr>
          <w:ilvl w:val="0"/>
          <w:numId w:val="11"/>
        </w:numPr>
        <w:spacing w:after="0" w:line="240" w:lineRule="auto"/>
        <w:rPr>
          <w:rFonts w:eastAsia="Times New Roman" w:cs="Helvetica"/>
          <w:color w:val="000000" w:themeColor="text1"/>
          <w:lang w:eastAsia="en-GB"/>
        </w:rPr>
      </w:pPr>
      <w:r w:rsidRPr="7B72F056">
        <w:rPr>
          <w:rFonts w:eastAsia="Times New Roman" w:cs="Helvetica"/>
          <w:color w:val="000000" w:themeColor="text1"/>
          <w:lang w:eastAsia="en-GB"/>
        </w:rPr>
        <w:t xml:space="preserve">Consideration should be given to how successful activity could be sustained in future years.  </w:t>
      </w:r>
      <w:r w:rsidR="001F424B" w:rsidRPr="7B72F056">
        <w:rPr>
          <w:rFonts w:eastAsia="Times New Roman" w:cs="Helvetica"/>
          <w:color w:val="000000" w:themeColor="text1"/>
          <w:lang w:eastAsia="en-GB"/>
        </w:rPr>
        <w:t xml:space="preserve"> </w:t>
      </w:r>
    </w:p>
    <w:p w14:paraId="2E485FA8" w14:textId="6EBAE6CE" w:rsidR="00C32E7A" w:rsidRPr="00C32E7A" w:rsidRDefault="001F424B" w:rsidP="00C32E7A">
      <w:pPr>
        <w:pStyle w:val="ListParagraph"/>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 </w:t>
      </w:r>
      <w:r w:rsidR="00F67BAA" w:rsidRPr="00301818">
        <w:rPr>
          <w:rFonts w:eastAsia="Times New Roman" w:cs="Helvetica"/>
          <w:color w:val="000000" w:themeColor="text1"/>
          <w:lang w:val="en" w:eastAsia="en-GB"/>
        </w:rPr>
        <w:t xml:space="preserve">  </w:t>
      </w:r>
    </w:p>
    <w:p w14:paraId="09F3D347" w14:textId="559324AD" w:rsidR="00C32E7A" w:rsidRDefault="00C32E7A" w:rsidP="00C32E7A">
      <w:pPr>
        <w:pStyle w:val="ListParagraph"/>
        <w:numPr>
          <w:ilvl w:val="0"/>
          <w:numId w:val="11"/>
        </w:numPr>
        <w:spacing w:after="0" w:line="240" w:lineRule="auto"/>
        <w:rPr>
          <w:color w:val="000000" w:themeColor="text1"/>
        </w:rPr>
      </w:pPr>
      <w:r>
        <w:rPr>
          <w:color w:val="000000" w:themeColor="text1"/>
        </w:rPr>
        <w:t>Projects are particularly welcome that</w:t>
      </w:r>
      <w:r w:rsidRPr="00301818">
        <w:rPr>
          <w:color w:val="000000" w:themeColor="text1"/>
        </w:rPr>
        <w:t xml:space="preserve"> </w:t>
      </w:r>
      <w:r>
        <w:rPr>
          <w:color w:val="000000" w:themeColor="text1"/>
        </w:rPr>
        <w:t>focus on one of t</w:t>
      </w:r>
      <w:r w:rsidRPr="00301818">
        <w:rPr>
          <w:color w:val="000000" w:themeColor="text1"/>
        </w:rPr>
        <w:t>he Student Partnership Agreement key</w:t>
      </w:r>
      <w:r>
        <w:rPr>
          <w:color w:val="000000" w:themeColor="text1"/>
        </w:rPr>
        <w:t xml:space="preserve"> priorities</w:t>
      </w:r>
      <w:r w:rsidRPr="00301818">
        <w:rPr>
          <w:color w:val="000000" w:themeColor="text1"/>
        </w:rPr>
        <w:t xml:space="preserve"> for 20</w:t>
      </w:r>
      <w:r w:rsidR="006C28F5">
        <w:rPr>
          <w:color w:val="000000" w:themeColor="text1"/>
        </w:rPr>
        <w:t>2</w:t>
      </w:r>
      <w:r w:rsidR="00361BA6">
        <w:rPr>
          <w:color w:val="000000" w:themeColor="text1"/>
        </w:rPr>
        <w:t>5</w:t>
      </w:r>
      <w:r w:rsidR="006C28F5">
        <w:rPr>
          <w:color w:val="000000" w:themeColor="text1"/>
        </w:rPr>
        <w:t>-2</w:t>
      </w:r>
      <w:r w:rsidR="00361BA6">
        <w:rPr>
          <w:color w:val="000000" w:themeColor="text1"/>
        </w:rPr>
        <w:t>6</w:t>
      </w:r>
      <w:r>
        <w:rPr>
          <w:color w:val="000000" w:themeColor="text1"/>
        </w:rPr>
        <w:t xml:space="preserve"> listed below, but projects focused on other </w:t>
      </w:r>
      <w:r w:rsidR="00787FDE">
        <w:rPr>
          <w:color w:val="000000" w:themeColor="text1"/>
        </w:rPr>
        <w:t xml:space="preserve">work that will enhance the student experience </w:t>
      </w:r>
      <w:r>
        <w:rPr>
          <w:color w:val="000000" w:themeColor="text1"/>
        </w:rPr>
        <w:t>will be considered.</w:t>
      </w:r>
    </w:p>
    <w:p w14:paraId="318CE808" w14:textId="77777777" w:rsidR="007903EB" w:rsidRPr="007903EB" w:rsidRDefault="007903EB" w:rsidP="007903EB">
      <w:pPr>
        <w:pStyle w:val="ListParagraph"/>
        <w:rPr>
          <w:color w:val="000000" w:themeColor="text1"/>
        </w:rPr>
      </w:pPr>
    </w:p>
    <w:p w14:paraId="65921DC4" w14:textId="1F4A534F" w:rsidR="007903EB" w:rsidRPr="00C32E7A" w:rsidRDefault="007903EB" w:rsidP="00C32E7A">
      <w:pPr>
        <w:pStyle w:val="ListParagraph"/>
        <w:numPr>
          <w:ilvl w:val="0"/>
          <w:numId w:val="11"/>
        </w:numPr>
        <w:spacing w:after="0" w:line="240" w:lineRule="auto"/>
        <w:rPr>
          <w:color w:val="000000" w:themeColor="text1"/>
        </w:rPr>
      </w:pPr>
      <w:r>
        <w:rPr>
          <w:color w:val="000000" w:themeColor="text1"/>
        </w:rPr>
        <w:t>Although there is a specific priority area of equality, diversity and inclusion, we expect all projects to include information to highlight how they will be inclusive in their project approach.</w:t>
      </w:r>
    </w:p>
    <w:p w14:paraId="298A6CF3" w14:textId="77777777" w:rsidR="00C32E7A" w:rsidRPr="00C32E7A" w:rsidRDefault="00C32E7A" w:rsidP="00C32E7A">
      <w:pPr>
        <w:pStyle w:val="ListParagraph"/>
        <w:rPr>
          <w:rFonts w:eastAsia="Times New Roman" w:cs="Helvetica"/>
          <w:color w:val="000000" w:themeColor="text1"/>
          <w:lang w:val="en" w:eastAsia="en-GB"/>
        </w:rPr>
      </w:pPr>
    </w:p>
    <w:p w14:paraId="1834EA87" w14:textId="0BA41D47" w:rsidR="00782804" w:rsidRPr="00787FDE" w:rsidRDefault="004F4437" w:rsidP="00787FDE">
      <w:pPr>
        <w:pStyle w:val="ListParagraph"/>
        <w:numPr>
          <w:ilvl w:val="0"/>
          <w:numId w:val="11"/>
        </w:numPr>
        <w:spacing w:after="0" w:line="240" w:lineRule="auto"/>
        <w:rPr>
          <w:rFonts w:eastAsia="Times New Roman" w:cs="Helvetica"/>
          <w:color w:val="000000" w:themeColor="text1"/>
          <w:lang w:val="en" w:eastAsia="en-GB"/>
        </w:rPr>
      </w:pPr>
      <w:r>
        <w:rPr>
          <w:rFonts w:eastAsia="Times New Roman" w:cs="Helvetica"/>
          <w:color w:val="000000" w:themeColor="text1"/>
          <w:lang w:val="en" w:eastAsia="en-GB"/>
        </w:rPr>
        <w:t>We look</w:t>
      </w:r>
      <w:r w:rsidRPr="003D65FE">
        <w:rPr>
          <w:rFonts w:eastAsia="Times New Roman" w:cs="Helvetica"/>
          <w:color w:val="000000" w:themeColor="text1"/>
          <w:lang w:eastAsia="en-GB"/>
        </w:rPr>
        <w:t xml:space="preserve"> favo</w:t>
      </w:r>
      <w:r w:rsidR="003D65FE" w:rsidRPr="003D65FE">
        <w:rPr>
          <w:rFonts w:eastAsia="Times New Roman" w:cs="Helvetica"/>
          <w:color w:val="000000" w:themeColor="text1"/>
          <w:lang w:eastAsia="en-GB"/>
        </w:rPr>
        <w:t>u</w:t>
      </w:r>
      <w:r w:rsidR="00782804" w:rsidRPr="003D65FE">
        <w:rPr>
          <w:rFonts w:eastAsia="Times New Roman" w:cs="Helvetica"/>
          <w:color w:val="000000" w:themeColor="text1"/>
          <w:lang w:eastAsia="en-GB"/>
        </w:rPr>
        <w:t>rably</w:t>
      </w:r>
      <w:r w:rsidR="00782804" w:rsidRPr="00782804">
        <w:rPr>
          <w:rFonts w:eastAsia="Times New Roman" w:cs="Helvetica"/>
          <w:color w:val="000000" w:themeColor="text1"/>
          <w:lang w:val="en" w:eastAsia="en-GB"/>
        </w:rPr>
        <w:t xml:space="preserve"> on collaboration between Schools and between Schools and Support Departments. But please note this is not a condition of funding. </w:t>
      </w:r>
    </w:p>
    <w:p w14:paraId="7003B814" w14:textId="77777777" w:rsidR="00C32E7A" w:rsidRDefault="00C32E7A" w:rsidP="00C32E7A">
      <w:pPr>
        <w:spacing w:after="0" w:line="240" w:lineRule="auto"/>
        <w:rPr>
          <w:b/>
        </w:rPr>
      </w:pPr>
    </w:p>
    <w:p w14:paraId="59B9C064" w14:textId="224746C1" w:rsidR="00C32E7A" w:rsidRDefault="00C32E7A" w:rsidP="00C32E7A">
      <w:pPr>
        <w:shd w:val="pct25" w:color="auto" w:fill="auto"/>
        <w:spacing w:after="0" w:line="240" w:lineRule="auto"/>
        <w:rPr>
          <w:b/>
        </w:rPr>
      </w:pPr>
      <w:r>
        <w:rPr>
          <w:b/>
        </w:rPr>
        <w:t>SPA Priority area</w:t>
      </w:r>
      <w:r w:rsidR="006C28F5">
        <w:rPr>
          <w:b/>
        </w:rPr>
        <w:t>s for funding 202</w:t>
      </w:r>
      <w:r w:rsidR="00361BA6">
        <w:rPr>
          <w:b/>
        </w:rPr>
        <w:t>5</w:t>
      </w:r>
      <w:r w:rsidR="00B1757F">
        <w:rPr>
          <w:b/>
        </w:rPr>
        <w:t>-2</w:t>
      </w:r>
      <w:r w:rsidR="00361BA6">
        <w:rPr>
          <w:b/>
        </w:rPr>
        <w:t>6</w:t>
      </w:r>
    </w:p>
    <w:p w14:paraId="706F99A6" w14:textId="77777777" w:rsidR="007903EB" w:rsidRDefault="007903EB" w:rsidP="007903EB">
      <w:pPr>
        <w:pStyle w:val="NoSpacing"/>
        <w:rPr>
          <w:b/>
        </w:rPr>
      </w:pPr>
    </w:p>
    <w:p w14:paraId="4328DFAA" w14:textId="77777777" w:rsidR="00D453CD" w:rsidRPr="00D453CD" w:rsidRDefault="00D453CD" w:rsidP="00D453CD">
      <w:pPr>
        <w:pStyle w:val="NoSpacing"/>
        <w:numPr>
          <w:ilvl w:val="0"/>
          <w:numId w:val="14"/>
        </w:numPr>
        <w:rPr>
          <w:rFonts w:cstheme="minorHAnsi"/>
          <w:b/>
        </w:rPr>
      </w:pPr>
      <w:r w:rsidRPr="00D453CD">
        <w:rPr>
          <w:rFonts w:cstheme="minorHAnsi"/>
          <w:b/>
        </w:rPr>
        <w:t>Wellbeing, mental health, cost of living and student accommodation</w:t>
      </w:r>
    </w:p>
    <w:p w14:paraId="24F35E32" w14:textId="5A8BA327" w:rsidR="00C55805" w:rsidRPr="00C55805" w:rsidRDefault="00D453CD" w:rsidP="00C55805">
      <w:pPr>
        <w:pStyle w:val="NoSpacing"/>
        <w:ind w:left="360"/>
        <w:rPr>
          <w:rFonts w:cstheme="minorHAnsi"/>
        </w:rPr>
      </w:pPr>
      <w:r w:rsidRPr="00D453CD">
        <w:rPr>
          <w:rFonts w:cstheme="minorHAnsi"/>
        </w:rPr>
        <w:t xml:space="preserve">Developing communities that promote a sense of wellbeing, positive mental health, belonging and mattering in Schools and societies and across years, degrees, and the University as a whole. Supporting students through the cost-of-living crisis and the challenging student accommodation context in the city. Supporting students as they move to the University, from semester to semester, from year to year, as well as beyond the University and preparing for professional working life. </w:t>
      </w:r>
    </w:p>
    <w:p w14:paraId="464E22F0" w14:textId="77777777" w:rsidR="00D453CD" w:rsidRPr="00D453CD" w:rsidRDefault="00D453CD" w:rsidP="00D453CD">
      <w:pPr>
        <w:pStyle w:val="NoSpacing"/>
        <w:numPr>
          <w:ilvl w:val="0"/>
          <w:numId w:val="14"/>
        </w:numPr>
        <w:rPr>
          <w:rFonts w:cstheme="minorHAnsi"/>
          <w:b/>
        </w:rPr>
      </w:pPr>
      <w:r w:rsidRPr="00D453CD">
        <w:rPr>
          <w:rFonts w:cstheme="minorHAnsi"/>
          <w:b/>
        </w:rPr>
        <w:t>Transforming curriculum</w:t>
      </w:r>
    </w:p>
    <w:p w14:paraId="79AA4F93" w14:textId="08A8005D" w:rsidR="00D453CD" w:rsidRPr="00C55805" w:rsidRDefault="00D453CD" w:rsidP="00C55805">
      <w:pPr>
        <w:pStyle w:val="NoSpacing"/>
        <w:ind w:left="360"/>
        <w:rPr>
          <w:rFonts w:cstheme="minorHAnsi"/>
        </w:rPr>
      </w:pPr>
      <w:r w:rsidRPr="00D453CD">
        <w:rPr>
          <w:rFonts w:cstheme="minorHAnsi"/>
        </w:rPr>
        <w:t xml:space="preserve">Recognising and enhancing the power of learning, teaching, and assessment to transform the student experience. Encouraging meaningful student and staff engagement with the curriculum, </w:t>
      </w:r>
      <w:r w:rsidRPr="00D453CD">
        <w:rPr>
          <w:rFonts w:cstheme="minorHAnsi"/>
        </w:rPr>
        <w:lastRenderedPageBreak/>
        <w:t>including through co-creation of learning, teaching, and assessment. University-wide curriculum transformation and making the Edinburgh Student Vision a reality, and effectively communicating this work to students and staff. Developing students who are: disciplinary experts; ready to thrive in a changing world; and highly employable. Exploring: experiential learning; engagement with global and local challenges; decolonising the curriculum; generative AI; sustainability and climate change; online, in-person, and hybrid experiences of teaching and learning. Creating a sense of community and belonging in the curriculum.</w:t>
      </w:r>
    </w:p>
    <w:p w14:paraId="15BBC3E6" w14:textId="77777777" w:rsidR="00D453CD" w:rsidRPr="00D453CD" w:rsidRDefault="00D453CD" w:rsidP="00D453CD">
      <w:pPr>
        <w:pStyle w:val="NoSpacing"/>
        <w:numPr>
          <w:ilvl w:val="0"/>
          <w:numId w:val="14"/>
        </w:numPr>
        <w:rPr>
          <w:rFonts w:cstheme="minorHAnsi"/>
          <w:b/>
        </w:rPr>
      </w:pPr>
      <w:r w:rsidRPr="00D453CD">
        <w:rPr>
          <w:rFonts w:cstheme="minorHAnsi"/>
          <w:b/>
        </w:rPr>
        <w:t>Equality, diversity and inclusion</w:t>
      </w:r>
    </w:p>
    <w:p w14:paraId="5F570E04" w14:textId="77777777" w:rsidR="00D453CD" w:rsidRPr="00D453CD" w:rsidRDefault="00D453CD" w:rsidP="00D453CD">
      <w:pPr>
        <w:pStyle w:val="NoSpacing"/>
        <w:ind w:left="360"/>
        <w:rPr>
          <w:rFonts w:cstheme="minorHAnsi"/>
        </w:rPr>
      </w:pPr>
      <w:r w:rsidRPr="00D453CD">
        <w:rPr>
          <w:rFonts w:cstheme="minorHAnsi"/>
        </w:rPr>
        <w:t>Ensuring we work in partnership to promote a University community where all are welcome, respected and nurtured. Making intentional efforts to meet the needs of our diverse community of students and staff, and acknowledging intersectionality. Recognising we may need to change the way we practice to ensure some individuals and groups, who have traditionally been systemically excluded, feel welcome and are enabled to engage. Celebrating our incredible diversity of students and staff. Listening to a diverse range of student voices and perspectives and closing the feedback loop.</w:t>
      </w:r>
    </w:p>
    <w:p w14:paraId="3E792F08" w14:textId="38D4B0EF" w:rsidR="00C32E7A" w:rsidRPr="007903EB" w:rsidRDefault="00C32E7A" w:rsidP="007903EB">
      <w:pPr>
        <w:pStyle w:val="NoSpacing"/>
      </w:pPr>
    </w:p>
    <w:p w14:paraId="7EA5B2C2" w14:textId="77777777" w:rsidR="005322C9" w:rsidRDefault="005322C9" w:rsidP="001F424B">
      <w:pPr>
        <w:shd w:val="pct25" w:color="auto" w:fill="auto"/>
        <w:spacing w:after="0" w:line="240" w:lineRule="auto"/>
        <w:rPr>
          <w:b/>
        </w:rPr>
      </w:pPr>
      <w:r>
        <w:rPr>
          <w:b/>
        </w:rPr>
        <w:t>Timeline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3"/>
      </w:tblGrid>
      <w:tr w:rsidR="00326C18" w:rsidRPr="00326C18" w14:paraId="563E810D" w14:textId="77777777" w:rsidTr="001716DB">
        <w:tc>
          <w:tcPr>
            <w:tcW w:w="2694" w:type="dxa"/>
          </w:tcPr>
          <w:p w14:paraId="0414841F" w14:textId="57254831" w:rsidR="00726B2A" w:rsidRPr="00750F76" w:rsidRDefault="00726B2A" w:rsidP="00F67BAA">
            <w:pPr>
              <w:rPr>
                <w:b/>
                <w:color w:val="000000" w:themeColor="text1"/>
              </w:rPr>
            </w:pPr>
            <w:r w:rsidRPr="00750F76">
              <w:rPr>
                <w:b/>
                <w:color w:val="000000" w:themeColor="text1"/>
              </w:rPr>
              <w:t>Submission deadline</w:t>
            </w:r>
            <w:r w:rsidR="00497FB4">
              <w:rPr>
                <w:b/>
                <w:color w:val="000000" w:themeColor="text1"/>
              </w:rPr>
              <w:t xml:space="preserve">: </w:t>
            </w:r>
          </w:p>
        </w:tc>
        <w:tc>
          <w:tcPr>
            <w:tcW w:w="6373" w:type="dxa"/>
          </w:tcPr>
          <w:p w14:paraId="221D39C8" w14:textId="38F5B5FA" w:rsidR="00497FB4" w:rsidRPr="00CD150E" w:rsidRDefault="00361BA6" w:rsidP="004547AE">
            <w:pPr>
              <w:rPr>
                <w:b/>
                <w:color w:val="FF0000"/>
              </w:rPr>
            </w:pPr>
            <w:r>
              <w:rPr>
                <w:b/>
              </w:rPr>
              <w:t>Weds</w:t>
            </w:r>
            <w:r w:rsidR="00F63E3C">
              <w:rPr>
                <w:b/>
              </w:rPr>
              <w:t xml:space="preserve"> </w:t>
            </w:r>
            <w:r>
              <w:rPr>
                <w:b/>
              </w:rPr>
              <w:t>26</w:t>
            </w:r>
            <w:r w:rsidR="00F63E3C" w:rsidRPr="00F63E3C">
              <w:rPr>
                <w:b/>
                <w:vertAlign w:val="superscript"/>
              </w:rPr>
              <w:t>th</w:t>
            </w:r>
            <w:r w:rsidR="00F63E3C">
              <w:rPr>
                <w:b/>
              </w:rPr>
              <w:t xml:space="preserve"> </w:t>
            </w:r>
            <w:r>
              <w:rPr>
                <w:b/>
              </w:rPr>
              <w:t>November</w:t>
            </w:r>
            <w:r w:rsidR="00BD0EAF">
              <w:rPr>
                <w:b/>
              </w:rPr>
              <w:t xml:space="preserve"> 202</w:t>
            </w:r>
            <w:r>
              <w:rPr>
                <w:b/>
              </w:rPr>
              <w:t>5</w:t>
            </w:r>
            <w:r w:rsidR="00F0606A">
              <w:rPr>
                <w:b/>
              </w:rPr>
              <w:t xml:space="preserve"> 5pm</w:t>
            </w:r>
          </w:p>
        </w:tc>
      </w:tr>
      <w:tr w:rsidR="00326C18" w:rsidRPr="00326C18" w14:paraId="654B27A4" w14:textId="77777777" w:rsidTr="001716DB">
        <w:tc>
          <w:tcPr>
            <w:tcW w:w="2694" w:type="dxa"/>
          </w:tcPr>
          <w:p w14:paraId="36E9AFEE" w14:textId="74AAEB62" w:rsidR="00726B2A" w:rsidRPr="00750F76" w:rsidRDefault="00726B2A" w:rsidP="00F67BAA">
            <w:pPr>
              <w:rPr>
                <w:b/>
                <w:color w:val="000000" w:themeColor="text1"/>
              </w:rPr>
            </w:pPr>
            <w:r w:rsidRPr="00750F76">
              <w:rPr>
                <w:b/>
                <w:color w:val="000000" w:themeColor="text1"/>
              </w:rPr>
              <w:t>Panel meet</w:t>
            </w:r>
          </w:p>
        </w:tc>
        <w:tc>
          <w:tcPr>
            <w:tcW w:w="6373" w:type="dxa"/>
          </w:tcPr>
          <w:p w14:paraId="3E0F1FFE" w14:textId="1648474A" w:rsidR="00726B2A" w:rsidRPr="00CD150E" w:rsidRDefault="00361BA6" w:rsidP="00625F33">
            <w:pPr>
              <w:rPr>
                <w:color w:val="000000" w:themeColor="text1"/>
              </w:rPr>
            </w:pPr>
            <w:r>
              <w:rPr>
                <w:color w:val="000000" w:themeColor="text1"/>
              </w:rPr>
              <w:t>w/b 1</w:t>
            </w:r>
            <w:r w:rsidRPr="00361BA6">
              <w:rPr>
                <w:color w:val="000000" w:themeColor="text1"/>
                <w:vertAlign w:val="superscript"/>
              </w:rPr>
              <w:t>st</w:t>
            </w:r>
            <w:r>
              <w:rPr>
                <w:color w:val="000000" w:themeColor="text1"/>
              </w:rPr>
              <w:t xml:space="preserve"> December 2025</w:t>
            </w:r>
          </w:p>
        </w:tc>
      </w:tr>
      <w:tr w:rsidR="00326C18" w:rsidRPr="00326C18" w14:paraId="2607E65E" w14:textId="77777777" w:rsidTr="001716DB">
        <w:tc>
          <w:tcPr>
            <w:tcW w:w="2694" w:type="dxa"/>
          </w:tcPr>
          <w:p w14:paraId="0F3CACA7" w14:textId="77777777" w:rsidR="00726B2A" w:rsidRPr="00750F76" w:rsidRDefault="00726B2A" w:rsidP="00F67BAA">
            <w:pPr>
              <w:rPr>
                <w:b/>
                <w:color w:val="000000" w:themeColor="text1"/>
              </w:rPr>
            </w:pPr>
            <w:r w:rsidRPr="00750F76">
              <w:rPr>
                <w:b/>
                <w:color w:val="000000" w:themeColor="text1"/>
              </w:rPr>
              <w:t>Feedback to applicants</w:t>
            </w:r>
          </w:p>
        </w:tc>
        <w:tc>
          <w:tcPr>
            <w:tcW w:w="6373" w:type="dxa"/>
          </w:tcPr>
          <w:p w14:paraId="25B82FA0" w14:textId="1566008D" w:rsidR="000A3D4A" w:rsidRPr="00750F76" w:rsidRDefault="008A35C1" w:rsidP="00787FDE">
            <w:pPr>
              <w:rPr>
                <w:color w:val="000000" w:themeColor="text1"/>
              </w:rPr>
            </w:pPr>
            <w:r>
              <w:rPr>
                <w:color w:val="000000" w:themeColor="text1"/>
              </w:rPr>
              <w:t xml:space="preserve">We will inform applicants </w:t>
            </w:r>
            <w:r w:rsidR="00787FDE">
              <w:rPr>
                <w:color w:val="000000" w:themeColor="text1"/>
              </w:rPr>
              <w:t>about the outcome of the funding panel</w:t>
            </w:r>
            <w:r>
              <w:rPr>
                <w:color w:val="000000" w:themeColor="text1"/>
              </w:rPr>
              <w:t>, n</w:t>
            </w:r>
            <w:r w:rsidR="00726B2A" w:rsidRPr="00750F76">
              <w:rPr>
                <w:color w:val="000000" w:themeColor="text1"/>
              </w:rPr>
              <w:t xml:space="preserve">o later than </w:t>
            </w:r>
            <w:r w:rsidR="00787FDE">
              <w:rPr>
                <w:color w:val="000000" w:themeColor="text1"/>
              </w:rPr>
              <w:t>10 working days</w:t>
            </w:r>
            <w:r w:rsidR="00726B2A" w:rsidRPr="00750F76">
              <w:rPr>
                <w:color w:val="000000" w:themeColor="text1"/>
              </w:rPr>
              <w:t xml:space="preserve"> after the Panel </w:t>
            </w:r>
            <w:r w:rsidR="001716DB" w:rsidRPr="00750F76">
              <w:rPr>
                <w:color w:val="000000" w:themeColor="text1"/>
              </w:rPr>
              <w:t>meeting</w:t>
            </w:r>
          </w:p>
        </w:tc>
      </w:tr>
    </w:tbl>
    <w:p w14:paraId="17F834CE" w14:textId="77777777" w:rsidR="00726B2A" w:rsidRDefault="00726B2A" w:rsidP="00F67BAA">
      <w:pPr>
        <w:spacing w:after="0" w:line="240" w:lineRule="auto"/>
        <w:rPr>
          <w:b/>
        </w:rPr>
      </w:pPr>
    </w:p>
    <w:p w14:paraId="280E8466" w14:textId="77777777" w:rsidR="001F424B" w:rsidRDefault="001F424B" w:rsidP="001F424B">
      <w:pPr>
        <w:shd w:val="pct25" w:color="auto" w:fill="auto"/>
        <w:spacing w:after="0" w:line="240" w:lineRule="auto"/>
        <w:rPr>
          <w:b/>
        </w:rPr>
      </w:pPr>
      <w:r>
        <w:rPr>
          <w:b/>
        </w:rPr>
        <w:t xml:space="preserve">Conditions of Funding </w:t>
      </w:r>
    </w:p>
    <w:p w14:paraId="13201E53" w14:textId="2B747D28" w:rsidR="004B430B" w:rsidRDefault="00A60D8C" w:rsidP="00A60D8C">
      <w:pPr>
        <w:pStyle w:val="ListParagraph"/>
        <w:numPr>
          <w:ilvl w:val="0"/>
          <w:numId w:val="7"/>
        </w:numPr>
        <w:spacing w:after="0" w:line="240" w:lineRule="auto"/>
      </w:pPr>
      <w:r>
        <w:t>Successful projects will be awarded funding to start from</w:t>
      </w:r>
      <w:r w:rsidR="00BD0EAF">
        <w:t xml:space="preserve"> any time after</w:t>
      </w:r>
      <w:r>
        <w:t xml:space="preserve"> </w:t>
      </w:r>
      <w:r w:rsidR="00BD0EAF">
        <w:t xml:space="preserve">1 </w:t>
      </w:r>
      <w:r w:rsidR="00361BA6">
        <w:t>January</w:t>
      </w:r>
      <w:r w:rsidR="00BD0EAF">
        <w:t xml:space="preserve"> 202</w:t>
      </w:r>
      <w:r w:rsidR="00361BA6">
        <w:t>6</w:t>
      </w:r>
      <w:r>
        <w:t>. Project</w:t>
      </w:r>
      <w:r w:rsidR="00BD0EAF">
        <w:t>s must be completed by 31st July 202</w:t>
      </w:r>
      <w:r w:rsidR="00361BA6">
        <w:t>6</w:t>
      </w:r>
      <w:r>
        <w:t>.</w:t>
      </w:r>
    </w:p>
    <w:p w14:paraId="4DCA993B" w14:textId="0A85DFA9" w:rsidR="00A60D8C" w:rsidRDefault="00A60D8C" w:rsidP="00A60D8C">
      <w:pPr>
        <w:pStyle w:val="ListParagraph"/>
        <w:numPr>
          <w:ilvl w:val="0"/>
          <w:numId w:val="7"/>
        </w:numPr>
        <w:spacing w:after="0" w:line="240" w:lineRule="auto"/>
      </w:pPr>
      <w:r>
        <w:t>Instead of an end of project report, we ask all project fund holders to write a blog for the University Teaching Matters blog within 2 months of the end of the project funding timeline</w:t>
      </w:r>
      <w:r w:rsidRPr="00726B2A">
        <w:t>.</w:t>
      </w:r>
      <w:r>
        <w:t xml:space="preserve">  </w:t>
      </w:r>
    </w:p>
    <w:p w14:paraId="0D0F09FF" w14:textId="595DA08B" w:rsidR="00A60D8C" w:rsidRDefault="00A60D8C" w:rsidP="00A60D8C">
      <w:pPr>
        <w:pStyle w:val="ListParagraph"/>
        <w:numPr>
          <w:ilvl w:val="0"/>
          <w:numId w:val="7"/>
        </w:numPr>
        <w:spacing w:after="0" w:line="240" w:lineRule="auto"/>
      </w:pPr>
      <w:r>
        <w:t>It is a condition of funding that any named applicants who have previously held SPA funds will have completed the required Teaching Matters blog for their previous project(s).</w:t>
      </w:r>
    </w:p>
    <w:p w14:paraId="03055A79" w14:textId="77777777" w:rsidR="00A60D8C" w:rsidRDefault="00A60D8C" w:rsidP="00A60D8C">
      <w:pPr>
        <w:pStyle w:val="ListParagraph"/>
        <w:numPr>
          <w:ilvl w:val="0"/>
          <w:numId w:val="7"/>
        </w:numPr>
        <w:spacing w:after="0" w:line="240" w:lineRule="auto"/>
      </w:pPr>
      <w:r>
        <w:t xml:space="preserve">We encourage students to lead funding bids, but a staff member needs to be identified who will be responsible for allocated funds. All funds provided must be managed in accordance with University policy and procedures (HR, procurement, etc.) </w:t>
      </w:r>
      <w:r w:rsidRPr="000A3D4A">
        <w:t xml:space="preserve">paid into a departmental account </w:t>
      </w:r>
      <w:r>
        <w:t>and must be used to support new activity.</w:t>
      </w:r>
    </w:p>
    <w:p w14:paraId="35F610FB" w14:textId="2EF224D3" w:rsidR="000A3D4A" w:rsidRDefault="000A3D4A" w:rsidP="000A3D4A">
      <w:pPr>
        <w:pStyle w:val="ListParagraph"/>
        <w:numPr>
          <w:ilvl w:val="0"/>
          <w:numId w:val="7"/>
        </w:numPr>
        <w:spacing w:after="0" w:line="240" w:lineRule="auto"/>
      </w:pPr>
      <w:r>
        <w:t xml:space="preserve">Funds will </w:t>
      </w:r>
      <w:r w:rsidR="00A60D8C">
        <w:t>be awarded up to a maximum of £10</w:t>
      </w:r>
      <w:r>
        <w:t>00</w:t>
      </w:r>
      <w:r w:rsidR="004F4437">
        <w:t xml:space="preserve"> for all projects</w:t>
      </w:r>
      <w:r w:rsidR="00A60D8C">
        <w:t>,</w:t>
      </w:r>
      <w:r>
        <w:t xml:space="preserve"> however </w:t>
      </w:r>
      <w:r w:rsidR="00097C94">
        <w:t xml:space="preserve">the panel </w:t>
      </w:r>
      <w:r>
        <w:t xml:space="preserve">may consider exceptions to this limit if </w:t>
      </w:r>
      <w:r w:rsidR="00097C94">
        <w:t xml:space="preserve">they </w:t>
      </w:r>
      <w:r>
        <w:t xml:space="preserve">feel that there is a justifiable reason. </w:t>
      </w:r>
    </w:p>
    <w:p w14:paraId="1A7B7C76" w14:textId="772D5673" w:rsidR="00361BA6" w:rsidRDefault="00361BA6" w:rsidP="000A3D4A">
      <w:pPr>
        <w:pStyle w:val="ListParagraph"/>
        <w:numPr>
          <w:ilvl w:val="0"/>
          <w:numId w:val="7"/>
        </w:numPr>
        <w:spacing w:after="0" w:line="240" w:lineRule="auto"/>
      </w:pPr>
      <w:r>
        <w:t>Any funds allocated to catering must provide fully broken down costs, and take into consideration mitigation for waste.</w:t>
      </w:r>
    </w:p>
    <w:p w14:paraId="6DB33C6D" w14:textId="15DB2F17" w:rsidR="000A3D4A" w:rsidRDefault="000A3D4A" w:rsidP="00C32E7A">
      <w:pPr>
        <w:pStyle w:val="ListParagraph"/>
        <w:numPr>
          <w:ilvl w:val="0"/>
          <w:numId w:val="7"/>
        </w:numPr>
        <w:spacing w:after="0" w:line="240" w:lineRule="auto"/>
      </w:pPr>
      <w:r>
        <w:t>The panel will decide whether full or part funding will be offered</w:t>
      </w:r>
      <w:r w:rsidR="00782804">
        <w:t xml:space="preserve">. </w:t>
      </w:r>
    </w:p>
    <w:p w14:paraId="14AA3AA2" w14:textId="6117D945" w:rsidR="00A60D8C" w:rsidRDefault="00A60D8C" w:rsidP="00A60D8C">
      <w:pPr>
        <w:pStyle w:val="ListParagraph"/>
        <w:numPr>
          <w:ilvl w:val="0"/>
          <w:numId w:val="7"/>
        </w:numPr>
        <w:spacing w:after="0" w:line="240" w:lineRule="auto"/>
      </w:pPr>
      <w:r>
        <w:t>Willingness to d</w:t>
      </w:r>
      <w:r w:rsidRPr="00726B2A">
        <w:t>isseminat</w:t>
      </w:r>
      <w:r>
        <w:t>e</w:t>
      </w:r>
      <w:r w:rsidRPr="00726B2A">
        <w:t xml:space="preserve"> findings and good practice from funded projects </w:t>
      </w:r>
      <w:r>
        <w:t>through for example, presentation at UoE events.</w:t>
      </w:r>
    </w:p>
    <w:p w14:paraId="5F203D85" w14:textId="53605A66" w:rsidR="4AC0EF81" w:rsidRDefault="4AC0EF81" w:rsidP="4AC0EF81">
      <w:pPr>
        <w:spacing w:after="0" w:line="240" w:lineRule="auto"/>
        <w:ind w:left="360"/>
      </w:pPr>
    </w:p>
    <w:p w14:paraId="67AFB68B" w14:textId="5673D570" w:rsidR="10E0753D" w:rsidRDefault="10E0753D" w:rsidP="4AC0EF81">
      <w:pPr>
        <w:spacing w:after="0" w:line="240" w:lineRule="auto"/>
      </w:pPr>
      <w:r>
        <w:t xml:space="preserve">Please ensure that you speak to the Finance Officer in your School/Service area to check you have the correct budget codes within your costing sheet. This also ensures that they are aware </w:t>
      </w:r>
      <w:r w:rsidR="434BE815">
        <w:t xml:space="preserve">that if you are successful in receiving funding, </w:t>
      </w:r>
      <w:r>
        <w:t xml:space="preserve">they </w:t>
      </w:r>
      <w:r w:rsidR="00672710">
        <w:t>can expect to have</w:t>
      </w:r>
      <w:r>
        <w:t xml:space="preserve"> money</w:t>
      </w:r>
      <w:r w:rsidR="734EA16F">
        <w:t xml:space="preserve"> </w:t>
      </w:r>
      <w:r w:rsidR="6F793DC7">
        <w:t xml:space="preserve">transferred to them </w:t>
      </w:r>
      <w:r w:rsidR="7D02A534">
        <w:t>for your project.</w:t>
      </w:r>
    </w:p>
    <w:p w14:paraId="547B06B0" w14:textId="2FCC2559" w:rsidR="4AC0EF81" w:rsidRDefault="4AC0EF81" w:rsidP="4AC0EF81">
      <w:pPr>
        <w:spacing w:after="0" w:line="240" w:lineRule="auto"/>
        <w:rPr>
          <w:b/>
          <w:bCs/>
        </w:rPr>
      </w:pPr>
    </w:p>
    <w:p w14:paraId="702AB33E" w14:textId="77777777" w:rsidR="003F01CB" w:rsidRDefault="003F01CB" w:rsidP="003F01CB">
      <w:pPr>
        <w:shd w:val="pct25" w:color="auto" w:fill="auto"/>
        <w:spacing w:after="0" w:line="240" w:lineRule="auto"/>
        <w:rPr>
          <w:b/>
        </w:rPr>
      </w:pPr>
      <w:r>
        <w:rPr>
          <w:b/>
        </w:rPr>
        <w:t>Contact</w:t>
      </w:r>
    </w:p>
    <w:p w14:paraId="5F1B415A" w14:textId="534BB083" w:rsidR="000A3D4A" w:rsidRDefault="000A3D4A" w:rsidP="001716DB">
      <w:pPr>
        <w:spacing w:after="0" w:line="240" w:lineRule="auto"/>
      </w:pPr>
    </w:p>
    <w:p w14:paraId="6440064E" w14:textId="0C62490C" w:rsidR="008A35C1" w:rsidRPr="00F67BAA" w:rsidRDefault="00A60D8C" w:rsidP="001716DB">
      <w:pPr>
        <w:spacing w:after="0" w:line="240" w:lineRule="auto"/>
      </w:pPr>
      <w:r>
        <w:t xml:space="preserve">If you have any questions, please contact </w:t>
      </w:r>
      <w:hyperlink r:id="rId11" w:history="1">
        <w:r w:rsidRPr="00A918F7">
          <w:rPr>
            <w:rStyle w:val="Hyperlink"/>
          </w:rPr>
          <w:t>spa@ed.ac.uk</w:t>
        </w:r>
      </w:hyperlink>
      <w:r>
        <w:t xml:space="preserve"> </w:t>
      </w:r>
    </w:p>
    <w:sectPr w:rsidR="008A35C1" w:rsidRPr="00F67BAA" w:rsidSect="0031703D">
      <w:headerReference w:type="default" r:id="rId12"/>
      <w:footerReference w:type="default" r:id="rId13"/>
      <w:pgSz w:w="11906" w:h="16838"/>
      <w:pgMar w:top="124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5CF6" w14:textId="77777777" w:rsidR="00036017" w:rsidRDefault="00036017" w:rsidP="00F67BAA">
      <w:pPr>
        <w:spacing w:after="0" w:line="240" w:lineRule="auto"/>
      </w:pPr>
      <w:r>
        <w:separator/>
      </w:r>
    </w:p>
  </w:endnote>
  <w:endnote w:type="continuationSeparator" w:id="0">
    <w:p w14:paraId="138F6973" w14:textId="77777777" w:rsidR="00036017" w:rsidRDefault="00036017" w:rsidP="00F6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ED20" w14:textId="20C241FA" w:rsidR="00334AA1" w:rsidRPr="00334AA1" w:rsidRDefault="00334AA1" w:rsidP="00334AA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71A5" w14:textId="77777777" w:rsidR="00036017" w:rsidRDefault="00036017" w:rsidP="00F67BAA">
      <w:pPr>
        <w:spacing w:after="0" w:line="240" w:lineRule="auto"/>
      </w:pPr>
      <w:r>
        <w:separator/>
      </w:r>
    </w:p>
  </w:footnote>
  <w:footnote w:type="continuationSeparator" w:id="0">
    <w:p w14:paraId="2B18E92F" w14:textId="77777777" w:rsidR="00036017" w:rsidRDefault="00036017" w:rsidP="00F67BAA">
      <w:pPr>
        <w:spacing w:after="0" w:line="240" w:lineRule="auto"/>
      </w:pPr>
      <w:r>
        <w:continuationSeparator/>
      </w:r>
    </w:p>
  </w:footnote>
  <w:footnote w:id="1">
    <w:p w14:paraId="4D110FF8" w14:textId="2A76CA1E" w:rsidR="008853F7" w:rsidRDefault="008853F7">
      <w:pPr>
        <w:pStyle w:val="FootnoteText"/>
      </w:pPr>
      <w:r>
        <w:rPr>
          <w:rStyle w:val="FootnoteReference"/>
        </w:rPr>
        <w:footnoteRef/>
      </w:r>
      <w:r w:rsidR="00C32E7A">
        <w:t xml:space="preserve"> </w:t>
      </w:r>
      <w:r w:rsidR="00787FDE">
        <w:t xml:space="preserve">Current SPA Funding </w:t>
      </w:r>
      <w:r w:rsidR="00A60D8C">
        <w:t xml:space="preserve">Panel: </w:t>
      </w:r>
      <w:r w:rsidR="00361BA6">
        <w:t xml:space="preserve">Lauren Harrison, Senior Projects Officer – Students; </w:t>
      </w:r>
      <w:r w:rsidR="00A60D8C">
        <w:t>Prof</w:t>
      </w:r>
      <w:r w:rsidR="00BD0EAF">
        <w:t>essor</w:t>
      </w:r>
      <w:r w:rsidR="00C32E7A">
        <w:t xml:space="preserve"> Catherine Bovill, </w:t>
      </w:r>
      <w:r w:rsidR="00BD0EAF">
        <w:t>Co-Director Institute for Academic Development</w:t>
      </w:r>
      <w:r w:rsidR="00C32E7A">
        <w:t xml:space="preserve"> (Convenor); Prof</w:t>
      </w:r>
      <w:r w:rsidR="00BD0EAF">
        <w:t>essor</w:t>
      </w:r>
      <w:r w:rsidR="00C32E7A">
        <w:t xml:space="preserve"> Tina Harrison</w:t>
      </w:r>
      <w:r w:rsidR="006156E8">
        <w:t xml:space="preserve">, </w:t>
      </w:r>
      <w:r w:rsidR="00BD0EAF">
        <w:t>Deputy Vice Principal Students (E</w:t>
      </w:r>
      <w:r w:rsidR="00635C61">
        <w:t>nhancement</w:t>
      </w:r>
      <w:r w:rsidR="00BD0EAF">
        <w:t>)</w:t>
      </w:r>
      <w:r w:rsidR="00C32E7A">
        <w:t xml:space="preserve">; </w:t>
      </w:r>
      <w:r w:rsidR="00361BA6" w:rsidRPr="00361BA6">
        <w:t xml:space="preserve">a </w:t>
      </w:r>
      <w:r w:rsidR="00361BA6">
        <w:t xml:space="preserve">nominated </w:t>
      </w:r>
      <w:r w:rsidR="00361BA6" w:rsidRPr="00361BA6">
        <w:t xml:space="preserve">Sabbatical Officer from </w:t>
      </w:r>
      <w:r w:rsidR="00787FDE" w:rsidRPr="00361BA6">
        <w:t>Edinburgh University Students’ Association</w:t>
      </w:r>
      <w:r w:rsidR="00C32E7A" w:rsidRPr="00361BA6">
        <w:t xml:space="preserve">; </w:t>
      </w:r>
      <w:r w:rsidR="00BD0EAF" w:rsidRPr="00361BA6">
        <w:t>Academic Engagement Co-ordinator,</w:t>
      </w:r>
      <w:r w:rsidR="00894B5F" w:rsidRPr="00361BA6">
        <w:t xml:space="preserve"> Edinburgh University Students’ Association</w:t>
      </w:r>
      <w:r w:rsidR="00361BA6">
        <w:t xml:space="preserve">; </w:t>
      </w:r>
      <w:r w:rsidR="00410573">
        <w:t>Sinead Docherty, Academic Services</w:t>
      </w:r>
      <w:r w:rsidR="00864869">
        <w:t>;</w:t>
      </w:r>
      <w:r w:rsidR="00F93C11">
        <w:t xml:space="preserve"> </w:t>
      </w:r>
      <w:r w:rsidR="009B56CA">
        <w:t xml:space="preserve">Dr Neneh Rowa-Dewar, </w:t>
      </w:r>
      <w:r w:rsidR="00DA3015">
        <w:t>Senior Lecturer</w:t>
      </w:r>
      <w:r w:rsidR="00550BA9">
        <w:t xml:space="preserve"> and Director of Quality in</w:t>
      </w:r>
      <w:r w:rsidR="00073BDD">
        <w:t xml:space="preserve"> the Deanery of</w:t>
      </w:r>
      <w:r w:rsidR="00550BA9">
        <w:t xml:space="preserve"> Molecular Genetic and Population Health Science</w:t>
      </w:r>
      <w:r w:rsidR="00361BA6">
        <w:t>s; and a student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1D71" w14:textId="4CE4F62F" w:rsidR="00726B2A" w:rsidRPr="001716DB" w:rsidRDefault="00CA51AA" w:rsidP="001716DB">
    <w:pPr>
      <w:pBdr>
        <w:top w:val="single" w:sz="4" w:space="1" w:color="auto"/>
        <w:left w:val="single" w:sz="4" w:space="4" w:color="auto"/>
        <w:bottom w:val="single" w:sz="4" w:space="1" w:color="auto"/>
        <w:right w:val="single" w:sz="4" w:space="4" w:color="auto"/>
      </w:pBdr>
      <w:jc w:val="center"/>
      <w:rPr>
        <w:b/>
      </w:rPr>
    </w:pPr>
    <w:r>
      <w:rPr>
        <w:b/>
      </w:rPr>
      <w:t xml:space="preserve">STUDENT PARTNERSHIP AGREEMENT </w:t>
    </w:r>
    <w:r w:rsidR="001716DB">
      <w:rPr>
        <w:b/>
      </w:rPr>
      <w:t>FUNDING GUIDANCE</w:t>
    </w:r>
    <w:r w:rsidR="00894B5F">
      <w:rPr>
        <w:b/>
      </w:rPr>
      <w:t xml:space="preserve"> 20</w:t>
    </w:r>
    <w:r w:rsidR="006C28F5">
      <w:rPr>
        <w:b/>
      </w:rPr>
      <w:t>2</w:t>
    </w:r>
    <w:r w:rsidR="00361BA6">
      <w:rPr>
        <w:b/>
      </w:rPr>
      <w:t>5</w:t>
    </w:r>
    <w:r w:rsidR="00324D51">
      <w:rPr>
        <w:b/>
      </w:rPr>
      <w:t>-2</w:t>
    </w:r>
    <w:r w:rsidR="00361BA6">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7BE"/>
    <w:multiLevelType w:val="hybridMultilevel"/>
    <w:tmpl w:val="BF0E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0ED4"/>
    <w:multiLevelType w:val="hybridMultilevel"/>
    <w:tmpl w:val="9F9A5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F0B50"/>
    <w:multiLevelType w:val="hybridMultilevel"/>
    <w:tmpl w:val="BE985844"/>
    <w:lvl w:ilvl="0" w:tplc="F1ECA120">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733729"/>
    <w:multiLevelType w:val="multilevel"/>
    <w:tmpl w:val="9F9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80466"/>
    <w:multiLevelType w:val="multilevel"/>
    <w:tmpl w:val="9F981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275462F"/>
    <w:multiLevelType w:val="hybridMultilevel"/>
    <w:tmpl w:val="94A4BB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B71E36"/>
    <w:multiLevelType w:val="hybridMultilevel"/>
    <w:tmpl w:val="610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549FF"/>
    <w:multiLevelType w:val="hybridMultilevel"/>
    <w:tmpl w:val="5F721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13158"/>
    <w:multiLevelType w:val="hybridMultilevel"/>
    <w:tmpl w:val="71B6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821D12"/>
    <w:multiLevelType w:val="hybridMultilevel"/>
    <w:tmpl w:val="A5CAA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BB56B7"/>
    <w:multiLevelType w:val="hybridMultilevel"/>
    <w:tmpl w:val="A470E654"/>
    <w:lvl w:ilvl="0" w:tplc="177A0C0C">
      <w:start w:val="26"/>
      <w:numFmt w:val="bullet"/>
      <w:lvlText w:val=""/>
      <w:lvlJc w:val="left"/>
      <w:pPr>
        <w:ind w:left="360" w:hanging="360"/>
      </w:pPr>
      <w:rPr>
        <w:rFonts w:ascii="Symbol" w:eastAsiaTheme="minorHAnsi" w:hAnsi="Symbol"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EA457C"/>
    <w:multiLevelType w:val="hybridMultilevel"/>
    <w:tmpl w:val="91F2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07D80"/>
    <w:multiLevelType w:val="hybridMultilevel"/>
    <w:tmpl w:val="D2F21974"/>
    <w:lvl w:ilvl="0" w:tplc="BC0C95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9"/>
  </w:num>
  <w:num w:numId="5">
    <w:abstractNumId w:val="1"/>
  </w:num>
  <w:num w:numId="6">
    <w:abstractNumId w:val="7"/>
  </w:num>
  <w:num w:numId="7">
    <w:abstractNumId w:val="4"/>
  </w:num>
  <w:num w:numId="8">
    <w:abstractNumId w:val="2"/>
  </w:num>
  <w:num w:numId="9">
    <w:abstractNumId w:val="12"/>
  </w:num>
  <w:num w:numId="10">
    <w:abstractNumId w:val="4"/>
  </w:num>
  <w:num w:numId="11">
    <w:abstractNumId w:val="6"/>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83"/>
    <w:rsid w:val="00036017"/>
    <w:rsid w:val="000608F0"/>
    <w:rsid w:val="00073BDD"/>
    <w:rsid w:val="00097C94"/>
    <w:rsid w:val="000A3D4A"/>
    <w:rsid w:val="000E7301"/>
    <w:rsid w:val="00142B41"/>
    <w:rsid w:val="001557C4"/>
    <w:rsid w:val="001716DB"/>
    <w:rsid w:val="001F424B"/>
    <w:rsid w:val="002002B0"/>
    <w:rsid w:val="002D6816"/>
    <w:rsid w:val="00301818"/>
    <w:rsid w:val="0031703D"/>
    <w:rsid w:val="00324D51"/>
    <w:rsid w:val="00326C18"/>
    <w:rsid w:val="00334AA1"/>
    <w:rsid w:val="00361BA6"/>
    <w:rsid w:val="003D0994"/>
    <w:rsid w:val="003D65FE"/>
    <w:rsid w:val="003F01CB"/>
    <w:rsid w:val="00410573"/>
    <w:rsid w:val="00415B9B"/>
    <w:rsid w:val="00425C14"/>
    <w:rsid w:val="004547AE"/>
    <w:rsid w:val="004939E5"/>
    <w:rsid w:val="00497FB4"/>
    <w:rsid w:val="004B430B"/>
    <w:rsid w:val="004F4437"/>
    <w:rsid w:val="005322C9"/>
    <w:rsid w:val="00550BA9"/>
    <w:rsid w:val="006156E8"/>
    <w:rsid w:val="006204D8"/>
    <w:rsid w:val="00625F33"/>
    <w:rsid w:val="00635C61"/>
    <w:rsid w:val="00672710"/>
    <w:rsid w:val="006C28F5"/>
    <w:rsid w:val="00726B2A"/>
    <w:rsid w:val="00750F76"/>
    <w:rsid w:val="00782804"/>
    <w:rsid w:val="00787FDE"/>
    <w:rsid w:val="007903EB"/>
    <w:rsid w:val="00864869"/>
    <w:rsid w:val="008853F7"/>
    <w:rsid w:val="00894B5F"/>
    <w:rsid w:val="008A35C1"/>
    <w:rsid w:val="008E4B31"/>
    <w:rsid w:val="009A614C"/>
    <w:rsid w:val="009B56CA"/>
    <w:rsid w:val="009D4791"/>
    <w:rsid w:val="009F4E00"/>
    <w:rsid w:val="00A41977"/>
    <w:rsid w:val="00A60D8C"/>
    <w:rsid w:val="00A932C0"/>
    <w:rsid w:val="00AA50A6"/>
    <w:rsid w:val="00AC226F"/>
    <w:rsid w:val="00B1757F"/>
    <w:rsid w:val="00B44DAE"/>
    <w:rsid w:val="00B565D4"/>
    <w:rsid w:val="00B64E86"/>
    <w:rsid w:val="00B65501"/>
    <w:rsid w:val="00B74A6D"/>
    <w:rsid w:val="00B84900"/>
    <w:rsid w:val="00BD0EAF"/>
    <w:rsid w:val="00C32E7A"/>
    <w:rsid w:val="00C33BD7"/>
    <w:rsid w:val="00C45E51"/>
    <w:rsid w:val="00C55805"/>
    <w:rsid w:val="00CA51AA"/>
    <w:rsid w:val="00CD150E"/>
    <w:rsid w:val="00CD31A2"/>
    <w:rsid w:val="00D453CD"/>
    <w:rsid w:val="00D90E0C"/>
    <w:rsid w:val="00DA3015"/>
    <w:rsid w:val="00DA4A4D"/>
    <w:rsid w:val="00DB2B83"/>
    <w:rsid w:val="00E30D9A"/>
    <w:rsid w:val="00E56DF3"/>
    <w:rsid w:val="00E746A7"/>
    <w:rsid w:val="00F04391"/>
    <w:rsid w:val="00F0606A"/>
    <w:rsid w:val="00F1531D"/>
    <w:rsid w:val="00F35647"/>
    <w:rsid w:val="00F63E3C"/>
    <w:rsid w:val="00F67BAA"/>
    <w:rsid w:val="00F93C11"/>
    <w:rsid w:val="00FB05FC"/>
    <w:rsid w:val="10E0753D"/>
    <w:rsid w:val="434BE815"/>
    <w:rsid w:val="4AC0EF81"/>
    <w:rsid w:val="572DABA0"/>
    <w:rsid w:val="5F8066EA"/>
    <w:rsid w:val="6F793DC7"/>
    <w:rsid w:val="734EA16F"/>
    <w:rsid w:val="7B72F056"/>
    <w:rsid w:val="7D02A534"/>
    <w:rsid w:val="7D079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7297"/>
  <w15:chartTrackingRefBased/>
  <w15:docId w15:val="{5A131868-D16D-49C7-AE85-64485FF3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22C9"/>
    <w:rPr>
      <w:b/>
      <w:bCs/>
    </w:rPr>
  </w:style>
  <w:style w:type="table" w:styleId="TableGrid">
    <w:name w:val="Table Grid"/>
    <w:basedOn w:val="TableNormal"/>
    <w:uiPriority w:val="39"/>
    <w:rsid w:val="0053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BAA"/>
    <w:pPr>
      <w:spacing w:after="15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67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AA"/>
    <w:rPr>
      <w:sz w:val="20"/>
      <w:szCs w:val="20"/>
    </w:rPr>
  </w:style>
  <w:style w:type="character" w:styleId="FootnoteReference">
    <w:name w:val="footnote reference"/>
    <w:basedOn w:val="DefaultParagraphFont"/>
    <w:uiPriority w:val="99"/>
    <w:semiHidden/>
    <w:unhideWhenUsed/>
    <w:rsid w:val="00F67BAA"/>
    <w:rPr>
      <w:vertAlign w:val="superscript"/>
    </w:rPr>
  </w:style>
  <w:style w:type="character" w:styleId="Hyperlink">
    <w:name w:val="Hyperlink"/>
    <w:basedOn w:val="DefaultParagraphFont"/>
    <w:uiPriority w:val="99"/>
    <w:unhideWhenUsed/>
    <w:rsid w:val="003F01CB"/>
    <w:rPr>
      <w:color w:val="0563C1" w:themeColor="hyperlink"/>
      <w:u w:val="single"/>
    </w:rPr>
  </w:style>
  <w:style w:type="paragraph" w:styleId="ListParagraph">
    <w:name w:val="List Paragraph"/>
    <w:basedOn w:val="Normal"/>
    <w:uiPriority w:val="34"/>
    <w:qFormat/>
    <w:rsid w:val="003F01CB"/>
    <w:pPr>
      <w:ind w:left="720"/>
      <w:contextualSpacing/>
    </w:pPr>
  </w:style>
  <w:style w:type="paragraph" w:styleId="Header">
    <w:name w:val="header"/>
    <w:basedOn w:val="Normal"/>
    <w:link w:val="HeaderChar"/>
    <w:uiPriority w:val="99"/>
    <w:unhideWhenUsed/>
    <w:rsid w:val="0033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AA1"/>
  </w:style>
  <w:style w:type="paragraph" w:styleId="Footer">
    <w:name w:val="footer"/>
    <w:basedOn w:val="Normal"/>
    <w:link w:val="FooterChar"/>
    <w:uiPriority w:val="99"/>
    <w:unhideWhenUsed/>
    <w:rsid w:val="0033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AA1"/>
  </w:style>
  <w:style w:type="character" w:styleId="CommentReference">
    <w:name w:val="annotation reference"/>
    <w:basedOn w:val="DefaultParagraphFont"/>
    <w:uiPriority w:val="99"/>
    <w:semiHidden/>
    <w:unhideWhenUsed/>
    <w:rsid w:val="00E746A7"/>
    <w:rPr>
      <w:sz w:val="16"/>
      <w:szCs w:val="16"/>
    </w:rPr>
  </w:style>
  <w:style w:type="paragraph" w:styleId="CommentText">
    <w:name w:val="annotation text"/>
    <w:basedOn w:val="Normal"/>
    <w:link w:val="CommentTextChar"/>
    <w:uiPriority w:val="99"/>
    <w:semiHidden/>
    <w:unhideWhenUsed/>
    <w:rsid w:val="00E746A7"/>
    <w:pPr>
      <w:spacing w:line="240" w:lineRule="auto"/>
    </w:pPr>
    <w:rPr>
      <w:sz w:val="20"/>
      <w:szCs w:val="20"/>
    </w:rPr>
  </w:style>
  <w:style w:type="character" w:customStyle="1" w:styleId="CommentTextChar">
    <w:name w:val="Comment Text Char"/>
    <w:basedOn w:val="DefaultParagraphFont"/>
    <w:link w:val="CommentText"/>
    <w:uiPriority w:val="99"/>
    <w:semiHidden/>
    <w:rsid w:val="00E746A7"/>
    <w:rPr>
      <w:sz w:val="20"/>
      <w:szCs w:val="20"/>
    </w:rPr>
  </w:style>
  <w:style w:type="paragraph" w:styleId="CommentSubject">
    <w:name w:val="annotation subject"/>
    <w:basedOn w:val="CommentText"/>
    <w:next w:val="CommentText"/>
    <w:link w:val="CommentSubjectChar"/>
    <w:uiPriority w:val="99"/>
    <w:semiHidden/>
    <w:unhideWhenUsed/>
    <w:rsid w:val="00E746A7"/>
    <w:rPr>
      <w:b/>
      <w:bCs/>
    </w:rPr>
  </w:style>
  <w:style w:type="character" w:customStyle="1" w:styleId="CommentSubjectChar">
    <w:name w:val="Comment Subject Char"/>
    <w:basedOn w:val="CommentTextChar"/>
    <w:link w:val="CommentSubject"/>
    <w:uiPriority w:val="99"/>
    <w:semiHidden/>
    <w:rsid w:val="00E746A7"/>
    <w:rPr>
      <w:b/>
      <w:bCs/>
      <w:sz w:val="20"/>
      <w:szCs w:val="20"/>
    </w:rPr>
  </w:style>
  <w:style w:type="paragraph" w:styleId="BalloonText">
    <w:name w:val="Balloon Text"/>
    <w:basedOn w:val="Normal"/>
    <w:link w:val="BalloonTextChar"/>
    <w:uiPriority w:val="99"/>
    <w:semiHidden/>
    <w:unhideWhenUsed/>
    <w:rsid w:val="00E74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A7"/>
    <w:rPr>
      <w:rFonts w:ascii="Segoe UI" w:hAnsi="Segoe UI" w:cs="Segoe UI"/>
      <w:sz w:val="18"/>
      <w:szCs w:val="18"/>
    </w:rPr>
  </w:style>
  <w:style w:type="paragraph" w:styleId="PlainText">
    <w:name w:val="Plain Text"/>
    <w:basedOn w:val="Normal"/>
    <w:link w:val="PlainTextChar"/>
    <w:uiPriority w:val="99"/>
    <w:semiHidden/>
    <w:unhideWhenUsed/>
    <w:rsid w:val="00750F7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50F76"/>
    <w:rPr>
      <w:rFonts w:ascii="Calibri" w:hAnsi="Calibri" w:cs="Times New Roman"/>
    </w:rPr>
  </w:style>
  <w:style w:type="paragraph" w:styleId="NoSpacing">
    <w:name w:val="No Spacing"/>
    <w:uiPriority w:val="1"/>
    <w:qFormat/>
    <w:rsid w:val="00C32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19649">
      <w:bodyDiv w:val="1"/>
      <w:marLeft w:val="0"/>
      <w:marRight w:val="0"/>
      <w:marTop w:val="0"/>
      <w:marBottom w:val="0"/>
      <w:divBdr>
        <w:top w:val="none" w:sz="0" w:space="0" w:color="auto"/>
        <w:left w:val="none" w:sz="0" w:space="0" w:color="auto"/>
        <w:bottom w:val="none" w:sz="0" w:space="0" w:color="auto"/>
        <w:right w:val="none" w:sz="0" w:space="0" w:color="auto"/>
      </w:divBdr>
    </w:div>
    <w:div w:id="650788387">
      <w:bodyDiv w:val="1"/>
      <w:marLeft w:val="0"/>
      <w:marRight w:val="0"/>
      <w:marTop w:val="0"/>
      <w:marBottom w:val="0"/>
      <w:divBdr>
        <w:top w:val="none" w:sz="0" w:space="0" w:color="auto"/>
        <w:left w:val="none" w:sz="0" w:space="0" w:color="auto"/>
        <w:bottom w:val="none" w:sz="0" w:space="0" w:color="auto"/>
        <w:right w:val="none" w:sz="0" w:space="0" w:color="auto"/>
      </w:divBdr>
      <w:divsChild>
        <w:div w:id="283121056">
          <w:marLeft w:val="0"/>
          <w:marRight w:val="0"/>
          <w:marTop w:val="0"/>
          <w:marBottom w:val="0"/>
          <w:divBdr>
            <w:top w:val="none" w:sz="0" w:space="0" w:color="auto"/>
            <w:left w:val="none" w:sz="0" w:space="0" w:color="auto"/>
            <w:bottom w:val="none" w:sz="0" w:space="0" w:color="auto"/>
            <w:right w:val="none" w:sz="0" w:space="0" w:color="auto"/>
          </w:divBdr>
          <w:divsChild>
            <w:div w:id="1120761484">
              <w:marLeft w:val="-225"/>
              <w:marRight w:val="-225"/>
              <w:marTop w:val="0"/>
              <w:marBottom w:val="0"/>
              <w:divBdr>
                <w:top w:val="none" w:sz="0" w:space="0" w:color="auto"/>
                <w:left w:val="none" w:sz="0" w:space="0" w:color="auto"/>
                <w:bottom w:val="none" w:sz="0" w:space="0" w:color="auto"/>
                <w:right w:val="none" w:sz="0" w:space="0" w:color="auto"/>
              </w:divBdr>
              <w:divsChild>
                <w:div w:id="294067687">
                  <w:marLeft w:val="0"/>
                  <w:marRight w:val="0"/>
                  <w:marTop w:val="0"/>
                  <w:marBottom w:val="0"/>
                  <w:divBdr>
                    <w:top w:val="none" w:sz="0" w:space="0" w:color="auto"/>
                    <w:left w:val="none" w:sz="0" w:space="0" w:color="auto"/>
                    <w:bottom w:val="none" w:sz="0" w:space="0" w:color="auto"/>
                    <w:right w:val="none" w:sz="0" w:space="0" w:color="auto"/>
                  </w:divBdr>
                  <w:divsChild>
                    <w:div w:id="511720262">
                      <w:marLeft w:val="0"/>
                      <w:marRight w:val="0"/>
                      <w:marTop w:val="0"/>
                      <w:marBottom w:val="0"/>
                      <w:divBdr>
                        <w:top w:val="none" w:sz="0" w:space="0" w:color="auto"/>
                        <w:left w:val="none" w:sz="0" w:space="0" w:color="auto"/>
                        <w:bottom w:val="none" w:sz="0" w:space="0" w:color="auto"/>
                        <w:right w:val="none" w:sz="0" w:space="0" w:color="auto"/>
                      </w:divBdr>
                      <w:divsChild>
                        <w:div w:id="41908223">
                          <w:marLeft w:val="0"/>
                          <w:marRight w:val="0"/>
                          <w:marTop w:val="0"/>
                          <w:marBottom w:val="0"/>
                          <w:divBdr>
                            <w:top w:val="none" w:sz="0" w:space="0" w:color="auto"/>
                            <w:left w:val="none" w:sz="0" w:space="0" w:color="auto"/>
                            <w:bottom w:val="none" w:sz="0" w:space="0" w:color="auto"/>
                            <w:right w:val="none" w:sz="0" w:space="0" w:color="auto"/>
                          </w:divBdr>
                          <w:divsChild>
                            <w:div w:id="391150891">
                              <w:marLeft w:val="0"/>
                              <w:marRight w:val="0"/>
                              <w:marTop w:val="0"/>
                              <w:marBottom w:val="0"/>
                              <w:divBdr>
                                <w:top w:val="none" w:sz="0" w:space="0" w:color="auto"/>
                                <w:left w:val="none" w:sz="0" w:space="0" w:color="auto"/>
                                <w:bottom w:val="none" w:sz="0" w:space="0" w:color="auto"/>
                                <w:right w:val="none" w:sz="0" w:space="0" w:color="auto"/>
                              </w:divBdr>
                              <w:divsChild>
                                <w:div w:id="15473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ed.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AA62A23D3E6489A2E7132B3708D4A" ma:contentTypeVersion="8" ma:contentTypeDescription="Create a new document." ma:contentTypeScope="" ma:versionID="3aa90ce4d6c8ea4f98e1b0da47305b88">
  <xsd:schema xmlns:xsd="http://www.w3.org/2001/XMLSchema" xmlns:xs="http://www.w3.org/2001/XMLSchema" xmlns:p="http://schemas.microsoft.com/office/2006/metadata/properties" xmlns:ns2="729bbda9-70c5-424e-8523-c2adfdec2a8b" xmlns:ns3="1947896b-b430-4760-9796-654f1e312f07" targetNamespace="http://schemas.microsoft.com/office/2006/metadata/properties" ma:root="true" ma:fieldsID="46d57cddbe13b73d07eedf4af0452a37" ns2:_="" ns3:_="">
    <xsd:import namespace="729bbda9-70c5-424e-8523-c2adfdec2a8b"/>
    <xsd:import namespace="1947896b-b430-4760-9796-654f1e312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bbda9-70c5-424e-8523-c2adfdec2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7896b-b430-4760-9796-654f1e312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76EB-0F46-416F-8534-DBAB11AEB14C}">
  <ds:schemaRefs>
    <ds:schemaRef ds:uri="http://schemas.microsoft.com/sharepoint/v3/contenttype/forms"/>
  </ds:schemaRefs>
</ds:datastoreItem>
</file>

<file path=customXml/itemProps2.xml><?xml version="1.0" encoding="utf-8"?>
<ds:datastoreItem xmlns:ds="http://schemas.openxmlformats.org/officeDocument/2006/customXml" ds:itemID="{4F967849-D5E8-4F54-88C6-F03E93BC5E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21FD80-5DCF-4CD2-B078-5FC98ED5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bbda9-70c5-424e-8523-c2adfdec2a8b"/>
    <ds:schemaRef ds:uri="1947896b-b430-4760-9796-654f1e31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E73EC-A4C2-4303-B133-586520FB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854</Words>
  <Characters>4871</Characters>
  <Application>Microsoft Office Word</Application>
  <DocSecurity>4</DocSecurity>
  <Lines>40</Lines>
  <Paragraphs>11</Paragraphs>
  <ScaleCrop>false</ScaleCrop>
  <Company>University of Edinburgh</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 Nichola</dc:creator>
  <cp:keywords/>
  <dc:description/>
  <cp:lastModifiedBy>Natalie Poyser</cp:lastModifiedBy>
  <cp:revision>2</cp:revision>
  <dcterms:created xsi:type="dcterms:W3CDTF">2025-09-26T09:32:00Z</dcterms:created>
  <dcterms:modified xsi:type="dcterms:W3CDTF">2025-09-26T09:32:00Z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0x01010027FAA62A23D3E6489A2E7132B3708D4A</vt:lpwstr>
  </property>
</Properties>
</file>